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3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91275A" w14:textId="77777777" w:rsidR="00A747DD" w:rsidRPr="009B6C0B" w:rsidRDefault="00255E85">
      <w:pPr>
        <w:tabs>
          <w:tab w:val="left" w:pos="5040"/>
        </w:tabs>
        <w:spacing w:line="276" w:lineRule="auto"/>
        <w:jc w:val="center"/>
        <w:rPr>
          <w:rFonts w:ascii="Museo Sans 300" w:eastAsia="Museo Sans 300" w:hAnsi="Museo Sans 300" w:cs="Museo Sans 300"/>
          <w:b/>
          <w:bCs/>
          <w:sz w:val="22"/>
          <w:szCs w:val="22"/>
        </w:rPr>
      </w:pPr>
      <w:bookmarkStart w:id="0" w:name="_4bj6d4sj9gz8" w:colFirst="0" w:colLast="0"/>
      <w:bookmarkEnd w:id="0"/>
      <w:r w:rsidRPr="009B6C0B">
        <w:rPr>
          <w:rFonts w:ascii="Museo Sans 300" w:hAnsi="Museo Sans 300"/>
          <w:noProof/>
        </w:rPr>
        <w:drawing>
          <wp:anchor distT="0" distB="0" distL="0" distR="0" simplePos="0" relativeHeight="251658240" behindDoc="1" locked="0" layoutInCell="1" hidden="0" allowOverlap="1" wp14:anchorId="668CF476" wp14:editId="488B33F9">
            <wp:simplePos x="0" y="0"/>
            <wp:positionH relativeFrom="column">
              <wp:posOffset>-1071830</wp:posOffset>
            </wp:positionH>
            <wp:positionV relativeFrom="paragraph">
              <wp:posOffset>-895984</wp:posOffset>
            </wp:positionV>
            <wp:extent cx="7754480" cy="10090484"/>
            <wp:effectExtent l="0" t="0" r="0" b="0"/>
            <wp:wrapNone/>
            <wp:docPr id="1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54480" cy="100904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69F8475" w14:textId="77777777" w:rsidR="00A747DD" w:rsidRPr="009B6C0B" w:rsidRDefault="00A747DD">
      <w:pPr>
        <w:spacing w:line="276" w:lineRule="auto"/>
        <w:jc w:val="center"/>
        <w:rPr>
          <w:rFonts w:ascii="Museo Sans 300" w:eastAsia="Museo Sans 300" w:hAnsi="Museo Sans 300" w:cs="Museo Sans 300"/>
          <w:sz w:val="22"/>
          <w:szCs w:val="22"/>
        </w:rPr>
      </w:pPr>
    </w:p>
    <w:p w14:paraId="50A95166" w14:textId="77777777" w:rsidR="00A747DD" w:rsidRPr="009B6C0B" w:rsidRDefault="00A747DD">
      <w:pPr>
        <w:spacing w:line="276" w:lineRule="auto"/>
        <w:jc w:val="center"/>
        <w:rPr>
          <w:rFonts w:ascii="Museo Sans 300" w:eastAsia="Museo Sans 300" w:hAnsi="Museo Sans 300" w:cs="Museo Sans 300"/>
          <w:b/>
          <w:bCs/>
          <w:sz w:val="22"/>
          <w:szCs w:val="22"/>
        </w:rPr>
      </w:pPr>
    </w:p>
    <w:p w14:paraId="0AA4882E" w14:textId="77777777" w:rsidR="00A747DD" w:rsidRPr="009B6C0B" w:rsidRDefault="00A747DD">
      <w:pPr>
        <w:spacing w:line="276" w:lineRule="auto"/>
        <w:jc w:val="center"/>
        <w:rPr>
          <w:rFonts w:ascii="Museo Sans 300" w:eastAsia="Museo Sans 300" w:hAnsi="Museo Sans 300" w:cs="Museo Sans 300"/>
          <w:b/>
          <w:bCs/>
          <w:sz w:val="22"/>
          <w:szCs w:val="22"/>
        </w:rPr>
      </w:pPr>
    </w:p>
    <w:p w14:paraId="6509032F" w14:textId="77777777" w:rsidR="00A747DD" w:rsidRPr="009B6C0B" w:rsidRDefault="00A747DD">
      <w:pPr>
        <w:spacing w:line="276" w:lineRule="auto"/>
        <w:jc w:val="center"/>
        <w:rPr>
          <w:rFonts w:ascii="Museo Sans 300" w:eastAsia="Museo Sans 300" w:hAnsi="Museo Sans 300" w:cs="Museo Sans 300"/>
          <w:b/>
          <w:bCs/>
          <w:sz w:val="22"/>
          <w:szCs w:val="22"/>
        </w:rPr>
      </w:pPr>
    </w:p>
    <w:p w14:paraId="25CBFDF0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  <w:bookmarkStart w:id="1" w:name="_7nuffpp9o3si" w:colFirst="0" w:colLast="0"/>
      <w:bookmarkEnd w:id="1"/>
    </w:p>
    <w:p w14:paraId="1DD9AE31" w14:textId="77777777" w:rsidR="00A747DD" w:rsidRPr="009B6C0B" w:rsidRDefault="00A747D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center"/>
        <w:rPr>
          <w:rFonts w:ascii="Museo Sans 300" w:eastAsia="Museo Sans 300" w:hAnsi="Museo Sans 300" w:cs="Museo Sans 300"/>
          <w:b/>
          <w:bCs/>
          <w:color w:val="000000"/>
          <w:sz w:val="22"/>
          <w:szCs w:val="22"/>
        </w:rPr>
      </w:pPr>
    </w:p>
    <w:p w14:paraId="42FC44A6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62E26CA5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236ED5B4" w14:textId="77777777" w:rsidR="00A747DD" w:rsidRPr="009B6C0B" w:rsidRDefault="00255E85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hAnsi="Museo Sans 300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1F55C0E2" wp14:editId="37D56762">
                <wp:simplePos x="0" y="0"/>
                <wp:positionH relativeFrom="column">
                  <wp:posOffset>-4761</wp:posOffset>
                </wp:positionH>
                <wp:positionV relativeFrom="paragraph">
                  <wp:posOffset>395923</wp:posOffset>
                </wp:positionV>
                <wp:extent cx="5652135" cy="1401445"/>
                <wp:effectExtent l="0" t="0" r="0" b="0"/>
                <wp:wrapSquare wrapText="bothSides" distT="45720" distB="45720" distL="114300" distR="114300"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24541" y="3083903"/>
                          <a:ext cx="5642919" cy="1392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A7BD4B" w14:textId="77777777" w:rsidR="009E25C3" w:rsidRDefault="009E25C3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2060"/>
                                <w:sz w:val="60"/>
                              </w:rPr>
                              <w:t>INFORME PRELIMINAR</w:t>
                            </w:r>
                            <w:r>
                              <w:rPr>
                                <w:color w:val="002060"/>
                                <w:sz w:val="60"/>
                              </w:rPr>
                              <w:t xml:space="preserve"> DE GESTIÓN DE LAS    FINANZAS PÚBLICAS A DICIEMBRE 2025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55C0E2" id="Rectángulo 1" o:spid="_x0000_s1026" style="position:absolute;margin-left:-.35pt;margin-top:31.2pt;width:445.05pt;height:110.3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x4H2AEAAIMDAAAOAAAAZHJzL2Uyb0RvYy54bWysU1uO0zAU/UdiD5b/aR5NhknUdIQYFSGN&#10;oJqBBbiO3VjyC9tt0uWwFjbGtRNmCvwhfpz70vE5xzebu0lJdGbOC6M7XKxyjJimphf62OGvX3Zv&#10;bjHygeieSKNZhy/M47vt61eb0basNIORPXMIQLRvR9vhIQTbZpmnA1PEr4xlGprcOEUCpO6Y9Y6M&#10;gK5kVub5TTYa11tnKPMeqvdzE28TPueMhs+cexaQ7DBwC+l06TzEM9tuSHt0xA6CLjTIP7BQRGi4&#10;9BnqngSCTk78BaUEdcYbHlbUqMxwLihLGkBNkf+h5mkgliUtYI63zzb5/wdLP533Doke3g4jTRQ8&#10;0SOY9uO7Pp6kQUU0aLS+hbknu3dL5iGMaifuVPyCDjR1uKzLqq4A6NLhdX67bvL1bDCbAqIwUN9U&#10;ZVM0GFGYKNZNWTR1nMheoKzz4QMzCsWgww7IJGPJ+cGHefTXSLxZm52QEuqklfq3AmDGShbZz3xj&#10;FKbDtIg4mP4C2r2lOwF3PRAf9sTB64OAETaiw/7biTiGkfyowfKmqMoaViglVf02h31y153DdYdo&#10;OhhYtIDRHL4Pae1mju9OwXCR9ERWM5WFLLx0cmTZyrhK13maevl3tj8BAAD//wMAUEsDBBQABgAI&#10;AAAAIQABGBE33AAAAAgBAAAPAAAAZHJzL2Rvd25yZXYueG1sTI/BTsMwEETvSPyDtUjcWiehpCHE&#10;qRCCA0fSHnp04yWJsNdR7LTp37Oc4DarGc28rXaLs+KMUxg8KUjXCQik1puBOgWH/fuqABGiJqOt&#10;J1RwxQC7+vam0qXxF/rEcxM7wSUUSq2gj3EspQxtj06HtR+R2Pvyk9ORz6mTZtIXLndWZkmSS6cH&#10;4oVej/jaY/vdzE7BiNbMdtMkx1a+TZTmH3t5fVTq/m55eQYRcYl/YfjFZ3SomenkZzJBWAWrLQcV&#10;5NkGBNtF8cTipCArHlKQdSX/P1D/AAAA//8DAFBLAQItABQABgAIAAAAIQC2gziS/gAAAOEBAAAT&#10;AAAAAAAAAAAAAAAAAAAAAABbQ29udGVudF9UeXBlc10ueG1sUEsBAi0AFAAGAAgAAAAhADj9If/W&#10;AAAAlAEAAAsAAAAAAAAAAAAAAAAALwEAAF9yZWxzLy5yZWxzUEsBAi0AFAAGAAgAAAAhABNHHgfY&#10;AQAAgwMAAA4AAAAAAAAAAAAAAAAALgIAAGRycy9lMm9Eb2MueG1sUEsBAi0AFAAGAAgAAAAhAAEY&#10;ETfcAAAACAEAAA8AAAAAAAAAAAAAAAAAMgQAAGRycy9kb3ducmV2LnhtbFBLBQYAAAAABAAEAPMA&#10;AAA7BQAAAAA=&#10;" filled="f" stroked="f">
                <v:textbox inset="2.53958mm,1.2694mm,2.53958mm,1.2694mm">
                  <w:txbxContent>
                    <w:p w14:paraId="37A7BD4B" w14:textId="77777777" w:rsidR="009E25C3" w:rsidRDefault="009E25C3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002060"/>
                          <w:sz w:val="60"/>
                        </w:rPr>
                        <w:t>INFORME PRELIMINAR</w:t>
                      </w:r>
                      <w:r>
                        <w:rPr>
                          <w:color w:val="002060"/>
                          <w:sz w:val="60"/>
                        </w:rPr>
                        <w:t xml:space="preserve"> DE GESTIÓN DE LAS    FINANZAS PÚBLICAS A DICIEMBRE 2025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E09131C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6D2F0644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40104A86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4C07DF34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650AB6A3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670D88DE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0D489DF2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35DFF29B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6B6AE5CB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7EFE9381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076DB853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1744F064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4AC6F48F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4DA0EFAF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3217EF55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5B4552CA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0D85F118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667ED3CC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2A902E26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78473700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5F15FAFA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2154EB6E" w14:textId="77777777" w:rsidR="00661F97" w:rsidRPr="009B6C0B" w:rsidRDefault="00661F97">
      <w:pPr>
        <w:spacing w:line="276" w:lineRule="auto"/>
        <w:rPr>
          <w:rFonts w:ascii="Museo Sans 300" w:eastAsia="Museo Sans 300" w:hAnsi="Museo Sans 300" w:cs="Museo Sans 300"/>
          <w:b/>
          <w:sz w:val="22"/>
          <w:szCs w:val="22"/>
        </w:rPr>
      </w:pPr>
    </w:p>
    <w:p w14:paraId="51D88FDC" w14:textId="77777777" w:rsidR="00661F97" w:rsidRPr="009B6C0B" w:rsidRDefault="00661F97">
      <w:pPr>
        <w:spacing w:line="276" w:lineRule="auto"/>
        <w:rPr>
          <w:rFonts w:ascii="Museo Sans 300" w:eastAsia="Museo Sans 300" w:hAnsi="Museo Sans 300" w:cs="Museo Sans 300"/>
          <w:b/>
          <w:sz w:val="22"/>
          <w:szCs w:val="22"/>
        </w:rPr>
      </w:pPr>
    </w:p>
    <w:sdt>
      <w:sdtPr>
        <w:rPr>
          <w:rFonts w:ascii="Calibri" w:eastAsia="Calibri" w:hAnsi="Calibri" w:cs="Calibri"/>
          <w:color w:val="auto"/>
          <w:sz w:val="20"/>
          <w:szCs w:val="20"/>
          <w:lang w:val="es-ES"/>
        </w:rPr>
        <w:id w:val="205966141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863EC9F" w14:textId="35C32039" w:rsidR="004A168E" w:rsidRPr="004A168E" w:rsidRDefault="004A168E" w:rsidP="004A168E">
          <w:pPr>
            <w:pStyle w:val="TtuloTDC"/>
            <w:spacing w:after="240"/>
            <w:rPr>
              <w:rFonts w:ascii="Museo Sans 300" w:eastAsia="Museo Sans 300" w:hAnsi="Museo Sans 300" w:cs="Museo Sans 300"/>
              <w:b/>
              <w:color w:val="auto"/>
              <w:sz w:val="24"/>
              <w:szCs w:val="22"/>
              <w:lang w:val="es-MX"/>
            </w:rPr>
          </w:pPr>
          <w:r w:rsidRPr="004A168E">
            <w:rPr>
              <w:rFonts w:ascii="Museo Sans 300" w:eastAsia="Museo Sans 300" w:hAnsi="Museo Sans 300" w:cs="Museo Sans 300"/>
              <w:b/>
              <w:color w:val="auto"/>
              <w:sz w:val="24"/>
              <w:szCs w:val="22"/>
              <w:lang w:val="es-MX"/>
            </w:rPr>
            <w:t>CONTENIDO</w:t>
          </w:r>
        </w:p>
        <w:p w14:paraId="3A3D1BFD" w14:textId="0BEF4C2E" w:rsidR="00CB08B7" w:rsidRDefault="004A168E">
          <w:pPr>
            <w:pStyle w:val="TDC1"/>
            <w:tabs>
              <w:tab w:val="right" w:leader="dot" w:pos="883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SV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3319583" w:history="1">
            <w:r w:rsidR="00CB08B7" w:rsidRPr="00160849">
              <w:rPr>
                <w:rStyle w:val="Hipervnculo"/>
                <w:rFonts w:ascii="Museo Sans 300" w:eastAsia="Museo Sans 300" w:hAnsi="Museo Sans 300" w:cs="Museo Sans 300"/>
                <w:noProof/>
              </w:rPr>
              <w:t>RESUMEN EJECUTIVO</w:t>
            </w:r>
            <w:r w:rsidR="00CB08B7">
              <w:rPr>
                <w:noProof/>
                <w:webHidden/>
              </w:rPr>
              <w:tab/>
            </w:r>
            <w:r w:rsidR="00CB08B7">
              <w:rPr>
                <w:noProof/>
                <w:webHidden/>
              </w:rPr>
              <w:fldChar w:fldCharType="begin"/>
            </w:r>
            <w:r w:rsidR="00CB08B7">
              <w:rPr>
                <w:noProof/>
                <w:webHidden/>
              </w:rPr>
              <w:instrText xml:space="preserve"> PAGEREF _Toc243319583 \h </w:instrText>
            </w:r>
            <w:r w:rsidR="00CB08B7">
              <w:rPr>
                <w:noProof/>
                <w:webHidden/>
              </w:rPr>
            </w:r>
            <w:r w:rsidR="00CB08B7">
              <w:rPr>
                <w:noProof/>
                <w:webHidden/>
              </w:rPr>
              <w:fldChar w:fldCharType="separate"/>
            </w:r>
            <w:r w:rsidR="00CB08B7">
              <w:rPr>
                <w:noProof/>
                <w:webHidden/>
              </w:rPr>
              <w:t>3</w:t>
            </w:r>
            <w:r w:rsidR="00CB08B7">
              <w:rPr>
                <w:noProof/>
                <w:webHidden/>
              </w:rPr>
              <w:fldChar w:fldCharType="end"/>
            </w:r>
          </w:hyperlink>
        </w:p>
        <w:p w14:paraId="55678710" w14:textId="14E02E9D" w:rsidR="00CB08B7" w:rsidRDefault="00CB08B7">
          <w:pPr>
            <w:pStyle w:val="TDC1"/>
            <w:tabs>
              <w:tab w:val="right" w:leader="dot" w:pos="883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SV"/>
            </w:rPr>
          </w:pPr>
          <w:hyperlink w:anchor="_Toc243319584" w:history="1">
            <w:r w:rsidRPr="00160849">
              <w:rPr>
                <w:rStyle w:val="Hipervnculo"/>
                <w:rFonts w:ascii="Museo Sans 300" w:eastAsia="Museo Sans 300" w:hAnsi="Museo Sans 300" w:cs="Museo Sans 300"/>
                <w:noProof/>
              </w:rPr>
              <w:t>GESTIÓN DE LAS FINANZAS PÚBLICAS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_Toc243319584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B54C99" w14:textId="0645952D" w:rsidR="00CB08B7" w:rsidRDefault="00CB08B7">
          <w:pPr>
            <w:pStyle w:val="TDC2"/>
            <w:tabs>
              <w:tab w:val="right" w:leader="dot" w:pos="883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SV"/>
            </w:rPr>
          </w:pPr>
          <w:hyperlink w:anchor="_Toc243319585" w:history="1">
            <w:r w:rsidRPr="00160849">
              <w:rPr>
                <w:rStyle w:val="Hipervnculo"/>
                <w:rFonts w:ascii="Museo Sans 300" w:eastAsia="Museo Sans 300" w:hAnsi="Museo Sans 300" w:cs="Museo Sans 300"/>
                <w:noProof/>
              </w:rPr>
              <w:t>1. Ingresos Totales del SPNF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_Toc243319585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4876FA" w14:textId="385B26E5" w:rsidR="00CB08B7" w:rsidRDefault="00CB08B7">
          <w:pPr>
            <w:pStyle w:val="TDC3"/>
            <w:tabs>
              <w:tab w:val="right" w:leader="dot" w:pos="883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SV"/>
            </w:rPr>
          </w:pPr>
          <w:hyperlink w:anchor="_Toc243319586" w:history="1">
            <w:r w:rsidRPr="00160849">
              <w:rPr>
                <w:rStyle w:val="Hipervnculo"/>
                <w:rFonts w:ascii="Museo Sans 300" w:eastAsia="Museo Sans 300" w:hAnsi="Museo Sans 300" w:cs="Museo Sans 300"/>
                <w:noProof/>
              </w:rPr>
              <w:t>1.1 Ingresos Tributarios y Contribuciones Especiales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_Toc243319586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093628" w14:textId="4448B458" w:rsidR="00CB08B7" w:rsidRDefault="00CB08B7">
          <w:pPr>
            <w:pStyle w:val="TDC3"/>
            <w:tabs>
              <w:tab w:val="right" w:leader="dot" w:pos="883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SV"/>
            </w:rPr>
          </w:pPr>
          <w:hyperlink w:anchor="_Toc243319587" w:history="1">
            <w:r w:rsidRPr="00160849">
              <w:rPr>
                <w:rStyle w:val="Hipervnculo"/>
                <w:rFonts w:ascii="Museo Sans 300" w:eastAsia="Museo Sans 300" w:hAnsi="Museo Sans 300" w:cs="Museo Sans 300"/>
                <w:noProof/>
              </w:rPr>
              <w:t>1.2 Recaudación por Cartera, Sector Económico y por Departamento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_Toc243319587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6F4E23" w14:textId="47E75D9B" w:rsidR="00CB08B7" w:rsidRDefault="00CB08B7">
          <w:pPr>
            <w:pStyle w:val="TDC3"/>
            <w:tabs>
              <w:tab w:val="right" w:leader="dot" w:pos="883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SV"/>
            </w:rPr>
          </w:pPr>
          <w:hyperlink w:anchor="_Toc243319588" w:history="1">
            <w:r w:rsidRPr="00160849">
              <w:rPr>
                <w:rStyle w:val="Hipervnculo"/>
                <w:rFonts w:ascii="Museo Sans 300" w:eastAsia="Museo Sans 300" w:hAnsi="Museo Sans 300" w:cs="Museo Sans 300"/>
                <w:noProof/>
              </w:rPr>
              <w:t>1.2 Ingresos No Tributarios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_Toc243319588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1551A1" w14:textId="57F97290" w:rsidR="00CB08B7" w:rsidRDefault="00CB08B7">
          <w:pPr>
            <w:pStyle w:val="TDC3"/>
            <w:tabs>
              <w:tab w:val="right" w:leader="dot" w:pos="883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SV"/>
            </w:rPr>
          </w:pPr>
          <w:hyperlink w:anchor="_Toc243319589" w:history="1">
            <w:r w:rsidRPr="00160849">
              <w:rPr>
                <w:rStyle w:val="Hipervnculo"/>
                <w:rFonts w:ascii="Museo Sans 300" w:eastAsia="Museo Sans 300" w:hAnsi="Museo Sans 300" w:cs="Museo Sans 300"/>
                <w:noProof/>
              </w:rPr>
              <w:t>1.3 Superávit de Operación de las Empresas Públicas No Financieras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_Toc243319589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E9812E" w14:textId="6E2E5B1E" w:rsidR="00CB08B7" w:rsidRDefault="00CB08B7">
          <w:pPr>
            <w:pStyle w:val="TDC2"/>
            <w:tabs>
              <w:tab w:val="right" w:leader="dot" w:pos="883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SV"/>
            </w:rPr>
          </w:pPr>
          <w:hyperlink w:anchor="_Toc243319590" w:history="1">
            <w:r w:rsidRPr="00160849">
              <w:rPr>
                <w:rStyle w:val="Hipervnculo"/>
                <w:rFonts w:ascii="Museo Sans 300" w:eastAsia="Museo Sans 300" w:hAnsi="Museo Sans 300" w:cs="Museo Sans 300"/>
                <w:noProof/>
              </w:rPr>
              <w:t>2. Gastos del Sector Público No Financiero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_Toc243319590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0D8692" w14:textId="7216EF40" w:rsidR="00CB08B7" w:rsidRDefault="00CB08B7">
          <w:pPr>
            <w:pStyle w:val="TDC3"/>
            <w:tabs>
              <w:tab w:val="right" w:leader="dot" w:pos="883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SV"/>
            </w:rPr>
          </w:pPr>
          <w:hyperlink w:anchor="_Toc243319591" w:history="1">
            <w:r w:rsidRPr="00160849">
              <w:rPr>
                <w:rStyle w:val="Hipervnculo"/>
                <w:rFonts w:ascii="Museo Sans 300" w:eastAsia="Museo Sans 300" w:hAnsi="Museo Sans 300" w:cs="Museo Sans 300"/>
                <w:noProof/>
              </w:rPr>
              <w:t>2.1 Gastos Corrientes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_Toc243319591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F0661A" w14:textId="606D37DD" w:rsidR="00CB08B7" w:rsidRDefault="00CB08B7">
          <w:pPr>
            <w:pStyle w:val="TDC3"/>
            <w:tabs>
              <w:tab w:val="right" w:leader="dot" w:pos="883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SV"/>
            </w:rPr>
          </w:pPr>
          <w:hyperlink w:anchor="_Toc243319592" w:history="1">
            <w:r w:rsidRPr="00160849">
              <w:rPr>
                <w:rStyle w:val="Hipervnculo"/>
                <w:rFonts w:ascii="Museo Sans 300" w:eastAsia="Museo Sans 300" w:hAnsi="Museo Sans 300" w:cs="Museo Sans 300"/>
                <w:iCs/>
                <w:noProof/>
              </w:rPr>
              <w:t>2.2 Gasto de Capital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_Toc243319592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89F632" w14:textId="5E68D1B2" w:rsidR="00CB08B7" w:rsidRDefault="00CB08B7">
          <w:pPr>
            <w:pStyle w:val="TDC2"/>
            <w:tabs>
              <w:tab w:val="right" w:leader="dot" w:pos="883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SV"/>
            </w:rPr>
          </w:pPr>
          <w:hyperlink w:anchor="_Toc243319593" w:history="1">
            <w:r w:rsidRPr="00160849">
              <w:rPr>
                <w:rStyle w:val="Hipervnculo"/>
                <w:rFonts w:ascii="Museo Sans 300" w:eastAsia="Museo Sans 300" w:hAnsi="Museo Sans 300" w:cs="Museo Sans 300"/>
                <w:noProof/>
              </w:rPr>
              <w:t>3. Deuda del SPNF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_Toc243319593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B6B4A8" w14:textId="01B9D966" w:rsidR="00CB08B7" w:rsidRDefault="00CB08B7">
          <w:pPr>
            <w:pStyle w:val="TDC3"/>
            <w:tabs>
              <w:tab w:val="right" w:leader="dot" w:pos="883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SV"/>
            </w:rPr>
          </w:pPr>
          <w:hyperlink w:anchor="_Toc243319594" w:history="1">
            <w:r w:rsidRPr="00160849">
              <w:rPr>
                <w:rStyle w:val="Hipervnculo"/>
                <w:rFonts w:ascii="Museo Sans 300" w:eastAsia="Museo Sans 300" w:hAnsi="Museo Sans 300" w:cs="Museo Sans 300"/>
                <w:noProof/>
              </w:rPr>
              <w:t>3.1 Deuda Interna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_Toc243319594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3D585E" w14:textId="67D56D63" w:rsidR="00CB08B7" w:rsidRDefault="00CB08B7">
          <w:pPr>
            <w:pStyle w:val="TDC3"/>
            <w:tabs>
              <w:tab w:val="right" w:leader="dot" w:pos="883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SV"/>
            </w:rPr>
          </w:pPr>
          <w:hyperlink w:anchor="_Toc243319595" w:history="1">
            <w:r w:rsidRPr="00160849">
              <w:rPr>
                <w:rStyle w:val="Hipervnculo"/>
                <w:rFonts w:ascii="Museo Sans 300" w:eastAsia="Museo Sans 300" w:hAnsi="Museo Sans 300" w:cs="Museo Sans 300"/>
                <w:noProof/>
              </w:rPr>
              <w:t>3.2 Deuda Externa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_Toc243319595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73BEA0" w14:textId="400A908F" w:rsidR="00CB08B7" w:rsidRDefault="00CB08B7">
          <w:pPr>
            <w:pStyle w:val="TDC3"/>
            <w:tabs>
              <w:tab w:val="right" w:leader="dot" w:pos="883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SV"/>
            </w:rPr>
          </w:pPr>
          <w:hyperlink w:anchor="_Toc243319596" w:history="1">
            <w:r w:rsidRPr="00160849">
              <w:rPr>
                <w:rStyle w:val="Hipervnculo"/>
                <w:rFonts w:ascii="Museo Sans 300" w:eastAsia="Museo Sans 300" w:hAnsi="Museo Sans 300" w:cs="Museo Sans 300"/>
                <w:noProof/>
              </w:rPr>
              <w:t>3.3 Servicio de la Deuda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_Toc243319596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64EDF8" w14:textId="2D1827C6" w:rsidR="00CB08B7" w:rsidRDefault="00CB08B7">
          <w:pPr>
            <w:pStyle w:val="TDC2"/>
            <w:tabs>
              <w:tab w:val="right" w:leader="dot" w:pos="883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SV"/>
            </w:rPr>
          </w:pPr>
          <w:hyperlink w:anchor="_Toc243319597" w:history="1">
            <w:r w:rsidRPr="00160849">
              <w:rPr>
                <w:rStyle w:val="Hipervnculo"/>
                <w:rFonts w:ascii="Museo Sans 300" w:eastAsia="Museo Sans 300" w:hAnsi="Museo Sans 300" w:cs="Museo Sans 300"/>
                <w:noProof/>
              </w:rPr>
              <w:t>4. Resultados Globales del SPNF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_Toc243319597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0A3EE0" w14:textId="5DF9B5A9" w:rsidR="00CB08B7" w:rsidRDefault="00CB08B7">
          <w:pPr>
            <w:pStyle w:val="TDC3"/>
            <w:tabs>
              <w:tab w:val="right" w:leader="dot" w:pos="883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SV"/>
            </w:rPr>
          </w:pPr>
          <w:hyperlink w:anchor="_Toc243319598" w:history="1">
            <w:r w:rsidRPr="00160849">
              <w:rPr>
                <w:rStyle w:val="Hipervnculo"/>
                <w:rFonts w:ascii="Museo Sans 300" w:eastAsia="Museo Sans 300" w:hAnsi="Museo Sans 300" w:cs="Museo Sans 300"/>
                <w:noProof/>
              </w:rPr>
              <w:t>4.1 Balance Primario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_Toc243319598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1AF3E9" w14:textId="2F87446D" w:rsidR="00CB08B7" w:rsidRDefault="00CB08B7">
          <w:pPr>
            <w:pStyle w:val="TDC3"/>
            <w:tabs>
              <w:tab w:val="right" w:leader="dot" w:pos="883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SV"/>
            </w:rPr>
          </w:pPr>
          <w:hyperlink w:anchor="_Toc243319599" w:history="1">
            <w:r w:rsidRPr="00160849">
              <w:rPr>
                <w:rStyle w:val="Hipervnculo"/>
                <w:rFonts w:ascii="Museo Sans 300" w:eastAsia="Museo Sans 300" w:hAnsi="Museo Sans 300" w:cs="Museo Sans 300"/>
                <w:noProof/>
              </w:rPr>
              <w:t>4.2 Balance Global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_Toc243319599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0C1800" w14:textId="6D6E4606" w:rsidR="00CB08B7" w:rsidRDefault="00CB08B7">
          <w:pPr>
            <w:pStyle w:val="TDC2"/>
            <w:tabs>
              <w:tab w:val="right" w:leader="dot" w:pos="883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SV"/>
            </w:rPr>
          </w:pPr>
          <w:hyperlink w:anchor="_Toc243319600" w:history="1">
            <w:r w:rsidRPr="00160849">
              <w:rPr>
                <w:rStyle w:val="Hipervnculo"/>
                <w:rFonts w:ascii="Museo Sans 300" w:eastAsia="Museo Sans 300" w:hAnsi="Museo Sans 300" w:cs="Museo Sans 300"/>
                <w:noProof/>
              </w:rPr>
              <w:t>5. Anexos.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_Toc243319600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795479" w14:textId="02FCE07F" w:rsidR="004A168E" w:rsidRDefault="004A168E">
          <w:r>
            <w:rPr>
              <w:b/>
              <w:bCs/>
              <w:lang w:val="es-ES"/>
            </w:rPr>
            <w:fldChar w:fldCharType="end"/>
          </w:r>
        </w:p>
      </w:sdtContent>
    </w:sdt>
    <w:p w14:paraId="2B78B4DE" w14:textId="77777777" w:rsidR="00A747DD" w:rsidRPr="009B6C0B" w:rsidRDefault="00A747DD">
      <w:pPr>
        <w:pStyle w:val="Ttulo2"/>
        <w:spacing w:line="276" w:lineRule="auto"/>
        <w:jc w:val="center"/>
        <w:rPr>
          <w:rFonts w:ascii="Museo Sans 300" w:eastAsia="Museo Sans 300" w:hAnsi="Museo Sans 300" w:cs="Museo Sans 300"/>
        </w:rPr>
      </w:pPr>
    </w:p>
    <w:p w14:paraId="50BF7453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5BDE7F86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01CF1CB0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018C39B9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7B8F2102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3CF24068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349DB82A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21AEE9B1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4E47FB40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3A7E98D2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25B99093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5AEC1A89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2EC2F062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078CA7B0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3A09B460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21598B83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0349E2C1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22"/>
          <w:szCs w:val="22"/>
        </w:rPr>
      </w:pPr>
    </w:p>
    <w:p w14:paraId="448CC880" w14:textId="77777777" w:rsidR="00A747DD" w:rsidRPr="009B6C0B" w:rsidRDefault="00255E85">
      <w:pPr>
        <w:pStyle w:val="Ttulo1"/>
        <w:spacing w:after="240"/>
        <w:jc w:val="center"/>
        <w:rPr>
          <w:rFonts w:ascii="Museo Sans 300" w:eastAsia="Museo Sans 300" w:hAnsi="Museo Sans 300" w:cs="Museo Sans 300"/>
          <w:sz w:val="22"/>
          <w:szCs w:val="22"/>
        </w:rPr>
      </w:pPr>
      <w:bookmarkStart w:id="2" w:name="_Toc243319583"/>
      <w:r w:rsidRPr="009B6C0B">
        <w:rPr>
          <w:rFonts w:ascii="Museo Sans 300" w:eastAsia="Museo Sans 300" w:hAnsi="Museo Sans 300" w:cs="Museo Sans 300"/>
          <w:sz w:val="22"/>
          <w:szCs w:val="22"/>
        </w:rPr>
        <w:lastRenderedPageBreak/>
        <w:t>RESUMEN EJECUTIVO</w:t>
      </w:r>
      <w:bookmarkEnd w:id="2"/>
    </w:p>
    <w:p w14:paraId="67F4ADCB" w14:textId="77777777" w:rsidR="00A747DD" w:rsidRPr="009B6C0B" w:rsidRDefault="00255E85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bookmarkStart w:id="3" w:name="_w9g198pt64d7" w:colFirst="0" w:colLast="0"/>
      <w:bookmarkEnd w:id="3"/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El Balance Fiscal del SPNF consolidado al mes de diciembre de 2025, presenta un déficit con pensiones de $1,050.3 millones, menor en $558.6 millones al resultado obtenido al cierre de 2024. En términos del PIB el balance fiscal fue equivalente al -2.9%, menor en 1.6 puntos porcentuales con relación al registrado en año anterior. </w:t>
      </w:r>
    </w:p>
    <w:p w14:paraId="30BC26AE" w14:textId="77777777" w:rsidR="00A747DD" w:rsidRPr="009B6C0B" w:rsidRDefault="00A747DD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3D24A433" w14:textId="77777777" w:rsidR="00A747DD" w:rsidRPr="009B6C0B" w:rsidRDefault="00255E85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El Balance Primario obtuvo un superávit de $705.6 millones, equivalente a 1.9% del PIB, mayor en 1.9 puntos porcentuales al compararse con el resultado de 0.0 % del PIB de 2024. </w:t>
      </w:r>
    </w:p>
    <w:p w14:paraId="41BBFAD7" w14:textId="77777777" w:rsidR="00A747DD" w:rsidRPr="009B6C0B" w:rsidRDefault="00A747DD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6392DA6D" w14:textId="77777777" w:rsidR="00A747DD" w:rsidRPr="009B6C0B" w:rsidRDefault="00255E85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>Los ingresos totales a diciembre de 2025 registraron un valor de $9,803.6 millones, mostrando un crecimiento anual de 8.3%, equivalente a $755.4 millones, originado principalmente por el aumento en los ingresos tributarios y no tributarios. Al cierre de 2025, de forma preliminar los ingresos totales fueron equivalentes a 26.8% del PIB.</w:t>
      </w:r>
    </w:p>
    <w:p w14:paraId="13D27D03" w14:textId="77777777" w:rsidR="00A747DD" w:rsidRPr="009B6C0B" w:rsidRDefault="00A747DD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0D12A7C5" w14:textId="77777777" w:rsidR="00A747DD" w:rsidRPr="009B6C0B" w:rsidRDefault="00255E85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>La recaudación tributaria (incluyendo las contribuciones especiales) alcanzó un monto de $8,108.8 millones, con un aumento de $624.9 millones con respecto al mismo período de 2024, con una variación interanual de 8.3%. La carga tributaria con relación al PIB representó el 22.2 puntos porcentuales.</w:t>
      </w:r>
    </w:p>
    <w:p w14:paraId="1FBAF594" w14:textId="77777777" w:rsidR="00A747DD" w:rsidRPr="009B6C0B" w:rsidRDefault="00A747DD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626BED67" w14:textId="77777777" w:rsidR="00A747DD" w:rsidRPr="009B6C0B" w:rsidRDefault="00255E85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>Por fuente específica, el Impuesto al Valor Agregado registró un flujo acumulado de $3,817.6 millones; el Impuesto sobre la Renta alcanzó un valor recaudado de $3,328.3 millones, que en conjunto ambos impuestos suman $7,145.9 millones, equivalente al 88.1% del total de los ingresos tributarios.</w:t>
      </w:r>
    </w:p>
    <w:p w14:paraId="617F82ED" w14:textId="77777777" w:rsidR="00A747DD" w:rsidRPr="009B6C0B" w:rsidRDefault="00A747DD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73CE9742" w14:textId="77777777" w:rsidR="00A747DD" w:rsidRPr="009B6C0B" w:rsidRDefault="00255E85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>La recaudación por Derechos Arancelarios a la Importación de Bienes registró un total de $383.0 millones, mostrando un incremento de 12.4% con respecto a diciembre de 2024.</w:t>
      </w:r>
    </w:p>
    <w:p w14:paraId="578DC506" w14:textId="77777777" w:rsidR="00A747DD" w:rsidRPr="009B6C0B" w:rsidRDefault="00A747DD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74CC4F5E" w14:textId="77777777" w:rsidR="00A747DD" w:rsidRPr="009B6C0B" w:rsidRDefault="00255E85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>Los Ingresos no Tributarios a nivel de SPNF registraron un monto de $1,517.2 millones, experimentando un aumento de $210.9 millones con relación al mes de diciembre de 2024.</w:t>
      </w:r>
    </w:p>
    <w:p w14:paraId="5D0DC155" w14:textId="77777777" w:rsidR="00A747DD" w:rsidRPr="009B6C0B" w:rsidRDefault="00A747DD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73BEC134" w14:textId="77777777" w:rsidR="00A747DD" w:rsidRPr="009B6C0B" w:rsidRDefault="00255E85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>La ejecución del Gasto Total del SPNF al mes de diciembre de 2025 ascendió a $10,853.9 millones, con un incremento de $196.8 millones con respecto al año anterior, mostrando una variación interanual de 1.8% con respecto al mismo período en 2024.</w:t>
      </w:r>
    </w:p>
    <w:p w14:paraId="7806D43C" w14:textId="77777777" w:rsidR="00A747DD" w:rsidRPr="009B6C0B" w:rsidRDefault="00A747DD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3908F4D0" w14:textId="77777777" w:rsidR="00A747DD" w:rsidRPr="009B6C0B" w:rsidRDefault="00255E85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Los Gastos Corrientes del SPNF registraron un monto de $9,149.7 millones, mostrando una disminución de $72.3 millones con respecto al mismo período en 2024. </w:t>
      </w:r>
    </w:p>
    <w:p w14:paraId="27A4A283" w14:textId="77777777" w:rsidR="00A747DD" w:rsidRPr="009B6C0B" w:rsidRDefault="00A747DD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71FB31FC" w14:textId="77777777" w:rsidR="00A747DD" w:rsidRPr="009B6C0B" w:rsidRDefault="00255E8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2"/>
        <w:jc w:val="both"/>
        <w:rPr>
          <w:rFonts w:ascii="Museo Sans 300" w:eastAsia="Museo Sans 300" w:hAnsi="Museo Sans 300" w:cs="Museo Sans 300"/>
          <w:color w:val="0000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color w:val="000000"/>
          <w:sz w:val="22"/>
          <w:szCs w:val="22"/>
        </w:rPr>
        <w:t>Los Gastos de Capital del SPNF al mes de diciembre de 2025 alcanzaron un monto de $1,756.3 millones, experimentando un aumento del 22.4% con respecto a 2024.</w:t>
      </w:r>
      <w:r w:rsidRPr="009B6C0B">
        <w:rPr>
          <w:rFonts w:ascii="Museo Sans 300" w:hAnsi="Museo Sans 300"/>
          <w:color w:val="000000"/>
        </w:rPr>
        <w:t xml:space="preserve"> </w:t>
      </w:r>
      <w:r w:rsidRPr="009B6C0B">
        <w:rPr>
          <w:rFonts w:ascii="Museo Sans 300" w:eastAsia="Museo Sans 300" w:hAnsi="Museo Sans 300" w:cs="Museo Sans 300"/>
          <w:color w:val="000000"/>
          <w:sz w:val="22"/>
          <w:szCs w:val="22"/>
        </w:rPr>
        <w:t xml:space="preserve">Del cual </w:t>
      </w:r>
      <w:r w:rsidRPr="009B6C0B">
        <w:rPr>
          <w:rFonts w:ascii="Museo Sans 300" w:eastAsia="Museo Sans 300" w:hAnsi="Museo Sans 300" w:cs="Museo Sans 300"/>
          <w:color w:val="000000"/>
          <w:sz w:val="22"/>
          <w:szCs w:val="22"/>
        </w:rPr>
        <w:lastRenderedPageBreak/>
        <w:t>la Inversión pública registró $1,569.7 millones, con un incremento de $269.7 millones, con respecto al mes de diciembre de 2024; representando el 4.3% del PIB.</w:t>
      </w:r>
    </w:p>
    <w:p w14:paraId="4CB98BCE" w14:textId="77777777" w:rsidR="00A747DD" w:rsidRPr="009B6C0B" w:rsidRDefault="00A747DD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05353009" w14:textId="77777777" w:rsidR="00A747DD" w:rsidRPr="009B6C0B" w:rsidRDefault="00255E85">
      <w:pPr>
        <w:spacing w:after="240"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>La deuda del SPNF sin pensiones al mes de diciembre de 2025 ascendió a $21,267.0 millones, equivalente a 57.9% del PIB. Este valor está compuesto por $14,516.6 millones que corresponden a deuda externa, equivalente a 39.5% del PIB y $6,750.4 millones correspondientes a deuda interna, equivalente a un 18.4% del PIB; al incluir el saldo de las pensiones de $11,241.1 millones, el Saldo de la deuda se amplía a $32,508.1 millones, equivalente a 88.6% del PIB. Por su parte, el saldo de deuda Consolidada del SPNF más pensiones ascendió a $32,138.7 millones, equivalentes a 87.6% del PIB.</w:t>
      </w:r>
    </w:p>
    <w:p w14:paraId="648086B5" w14:textId="77777777" w:rsidR="00A747DD" w:rsidRPr="009B6C0B" w:rsidRDefault="00A747DD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31BCCBDC" w14:textId="77777777" w:rsidR="00A747DD" w:rsidRPr="009B6C0B" w:rsidRDefault="00A747DD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32E5854C" w14:textId="77777777" w:rsidR="00A747DD" w:rsidRPr="009B6C0B" w:rsidRDefault="00A747DD">
      <w:pPr>
        <w:spacing w:after="200"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2A378E4D" w14:textId="77777777" w:rsidR="00A747DD" w:rsidRPr="009B6C0B" w:rsidRDefault="00255E85">
      <w:pPr>
        <w:spacing w:after="200"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hAnsi="Museo Sans 300"/>
        </w:rPr>
        <w:br w:type="page"/>
      </w:r>
    </w:p>
    <w:p w14:paraId="305AE3B6" w14:textId="77777777" w:rsidR="00A747DD" w:rsidRPr="009B6C0B" w:rsidRDefault="00255E85">
      <w:pPr>
        <w:pStyle w:val="Ttulo1"/>
        <w:jc w:val="center"/>
        <w:rPr>
          <w:rFonts w:ascii="Museo Sans 300" w:eastAsia="Museo Sans 300" w:hAnsi="Museo Sans 300" w:cs="Museo Sans 300"/>
          <w:sz w:val="22"/>
          <w:szCs w:val="22"/>
        </w:rPr>
      </w:pPr>
      <w:bookmarkStart w:id="4" w:name="_Toc243319584"/>
      <w:r w:rsidRPr="009B6C0B">
        <w:rPr>
          <w:rFonts w:ascii="Museo Sans 300" w:eastAsia="Museo Sans 300" w:hAnsi="Museo Sans 300" w:cs="Museo Sans 300"/>
          <w:sz w:val="22"/>
          <w:szCs w:val="22"/>
        </w:rPr>
        <w:lastRenderedPageBreak/>
        <w:t>GESTIÓN DE LAS FINANZAS PÚBLICAS</w:t>
      </w:r>
      <w:bookmarkEnd w:id="4"/>
    </w:p>
    <w:p w14:paraId="29DE7863" w14:textId="77777777" w:rsidR="00A747DD" w:rsidRPr="009B6C0B" w:rsidRDefault="00A747DD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bookmarkStart w:id="5" w:name="_guoo2rp5h8c8" w:colFirst="0" w:colLast="0"/>
      <w:bookmarkEnd w:id="5"/>
    </w:p>
    <w:p w14:paraId="56BD3B71" w14:textId="77777777" w:rsidR="00A747DD" w:rsidRPr="009B6C0B" w:rsidRDefault="00255E85">
      <w:pPr>
        <w:pStyle w:val="Ttulo2"/>
        <w:spacing w:line="480" w:lineRule="auto"/>
        <w:rPr>
          <w:rFonts w:ascii="Museo Sans 300" w:eastAsia="Museo Sans 300" w:hAnsi="Museo Sans 300" w:cs="Museo Sans 300"/>
        </w:rPr>
      </w:pPr>
      <w:bookmarkStart w:id="6" w:name="_Toc243319585"/>
      <w:r w:rsidRPr="009B6C0B">
        <w:rPr>
          <w:rFonts w:ascii="Museo Sans 300" w:eastAsia="Museo Sans 300" w:hAnsi="Museo Sans 300" w:cs="Museo Sans 300"/>
        </w:rPr>
        <w:t>1. Ingresos Totales del SPNF</w:t>
      </w:r>
      <w:r w:rsidRPr="009B6C0B">
        <w:rPr>
          <w:rFonts w:ascii="Museo Sans 300" w:eastAsia="Museo Sans 300" w:hAnsi="Museo Sans 300" w:cs="Museo Sans 300"/>
          <w:vertAlign w:val="superscript"/>
        </w:rPr>
        <w:footnoteReference w:id="1"/>
      </w:r>
      <w:bookmarkEnd w:id="6"/>
      <w:r w:rsidRPr="009B6C0B">
        <w:rPr>
          <w:rFonts w:ascii="Museo Sans 300" w:eastAsia="Museo Sans 300" w:hAnsi="Museo Sans 300" w:cs="Museo Sans 300"/>
        </w:rPr>
        <w:t xml:space="preserve"> </w:t>
      </w:r>
    </w:p>
    <w:p w14:paraId="349E30D9" w14:textId="77777777" w:rsidR="00A747DD" w:rsidRPr="009B6C0B" w:rsidRDefault="00255E85">
      <w:pPr>
        <w:spacing w:line="276" w:lineRule="auto"/>
        <w:ind w:right="-34"/>
        <w:jc w:val="both"/>
        <w:rPr>
          <w:rFonts w:ascii="Museo Sans 300" w:eastAsia="Museo Sans 300" w:hAnsi="Museo Sans 300" w:cs="Museo Sans 300"/>
          <w:sz w:val="22"/>
          <w:szCs w:val="22"/>
        </w:rPr>
      </w:pPr>
      <w:bookmarkStart w:id="7" w:name="_5j2jjx6pff4q" w:colFirst="0" w:colLast="0"/>
      <w:bookmarkEnd w:id="7"/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Los ingresos totales al cierre de 2025 ascendieron a $9,803.6 millones, mostraron un aumento de 8.3%, equivalente a $755.4 millones, con respecto a diciembre de 2024, determinado principalmente por incrementos en los ingresos tributarios y no tributarios. Como porcentaje del PIB, los ingresos totales representaron un 26.8 puntos porcentuales. </w:t>
      </w:r>
    </w:p>
    <w:p w14:paraId="33C4C3A8" w14:textId="77777777" w:rsidR="00A747DD" w:rsidRPr="009B6C0B" w:rsidRDefault="00A747DD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1E92E12B" w14:textId="77777777" w:rsidR="00A747DD" w:rsidRPr="009B6C0B" w:rsidRDefault="00255E85" w:rsidP="00D0041A">
      <w:pPr>
        <w:spacing w:after="240" w:line="276" w:lineRule="auto"/>
        <w:rPr>
          <w:rFonts w:ascii="Museo Sans 300" w:eastAsia="Museo Sans 300" w:hAnsi="Museo Sans 300" w:cs="Museo Sans 300"/>
          <w:i/>
          <w:iCs/>
          <w:sz w:val="22"/>
          <w:szCs w:val="22"/>
        </w:rPr>
      </w:pPr>
      <w:bookmarkStart w:id="8" w:name="_iktjebgz4ua5" w:colFirst="0" w:colLast="0"/>
      <w:bookmarkEnd w:id="8"/>
      <w:r w:rsidRPr="009B6C0B">
        <w:rPr>
          <w:rFonts w:ascii="Museo Sans 300" w:eastAsia="Museo Sans 300" w:hAnsi="Museo Sans 300" w:cs="Museo Sans 300"/>
          <w:i/>
          <w:iCs/>
          <w:sz w:val="22"/>
          <w:szCs w:val="22"/>
        </w:rPr>
        <w:t>Gráfico 1: Evolución de los Ingresos Totales del SPNF a diciembre 2020 -2025</w:t>
      </w:r>
    </w:p>
    <w:p w14:paraId="03D4FFFF" w14:textId="77777777" w:rsidR="00A747DD" w:rsidRPr="009B6C0B" w:rsidRDefault="005817B8">
      <w:pPr>
        <w:spacing w:after="240" w:line="276" w:lineRule="auto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  <w:r w:rsidRPr="009B6C0B">
        <w:rPr>
          <w:rFonts w:ascii="Museo Sans 300" w:hAnsi="Museo Sans 300"/>
          <w:noProof/>
        </w:rPr>
        <w:drawing>
          <wp:inline distT="0" distB="0" distL="0" distR="0" wp14:anchorId="10EBE6CF" wp14:editId="5E850C80">
            <wp:extent cx="5607050" cy="2751993"/>
            <wp:effectExtent l="0" t="0" r="0" b="0"/>
            <wp:docPr id="20" name="Gráfico 20">
              <a:extLst xmlns:a="http://schemas.openxmlformats.org/drawingml/2006/main">
                <a:ext uri="{FF2B5EF4-FFF2-40B4-BE49-F238E27FC236}">
                  <a16:creationId xmlns:a16="http://schemas.microsoft.com/office/drawing/2014/main" id="{F1033EE1-27B2-4E9C-8716-BA876F665A3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D6D9728" w14:textId="77777777" w:rsidR="00A747DD" w:rsidRPr="009B6C0B" w:rsidRDefault="00255E85">
      <w:pPr>
        <w:spacing w:line="276" w:lineRule="auto"/>
        <w:rPr>
          <w:rFonts w:ascii="Museo Sans 300" w:eastAsia="Museo Sans 300" w:hAnsi="Museo Sans 300" w:cs="Museo Sans 300"/>
          <w:sz w:val="18"/>
          <w:szCs w:val="18"/>
        </w:rPr>
      </w:pPr>
      <w:r w:rsidRPr="009B6C0B">
        <w:rPr>
          <w:rFonts w:ascii="Museo Sans 300" w:eastAsia="Museo Sans 300" w:hAnsi="Museo Sans 300" w:cs="Museo Sans 300"/>
          <w:sz w:val="18"/>
          <w:szCs w:val="18"/>
        </w:rPr>
        <w:t>Fuente: Ministerio de Hacienda</w:t>
      </w:r>
    </w:p>
    <w:p w14:paraId="104C91E1" w14:textId="77777777" w:rsidR="00A747DD" w:rsidRPr="009B6C0B" w:rsidRDefault="00A747DD">
      <w:pPr>
        <w:rPr>
          <w:rFonts w:ascii="Museo Sans 300" w:eastAsia="Museo Sans 300" w:hAnsi="Museo Sans 300" w:cs="Museo Sans 300"/>
          <w:sz w:val="22"/>
          <w:szCs w:val="22"/>
        </w:rPr>
      </w:pPr>
    </w:p>
    <w:p w14:paraId="64852EFE" w14:textId="77777777" w:rsidR="00A747DD" w:rsidRPr="009B6C0B" w:rsidRDefault="00255E85">
      <w:pPr>
        <w:pStyle w:val="Ttulo3"/>
        <w:spacing w:line="480" w:lineRule="auto"/>
        <w:rPr>
          <w:rFonts w:ascii="Museo Sans 300" w:eastAsia="Museo Sans 300" w:hAnsi="Museo Sans 300" w:cs="Museo Sans 300"/>
          <w:b w:val="0"/>
          <w:bCs w:val="0"/>
        </w:rPr>
      </w:pPr>
      <w:bookmarkStart w:id="9" w:name="_Toc243319586"/>
      <w:r w:rsidRPr="009B6C0B">
        <w:rPr>
          <w:rFonts w:ascii="Museo Sans 300" w:eastAsia="Museo Sans 300" w:hAnsi="Museo Sans 300" w:cs="Museo Sans 300"/>
        </w:rPr>
        <w:t>1.1 Ingresos Tributarios y Contribuciones Especiales</w:t>
      </w:r>
      <w:bookmarkEnd w:id="9"/>
    </w:p>
    <w:p w14:paraId="6468A056" w14:textId="77777777" w:rsidR="00A747DD" w:rsidRPr="009B6C0B" w:rsidRDefault="00255E85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bookmarkStart w:id="10" w:name="_fpd3mx63ztvw" w:colFirst="0" w:colLast="0"/>
      <w:bookmarkEnd w:id="10"/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La recaudación tributaria alcanzó un monto de $8,108.8 millones, con un aumento de $624.9 millones (8.3%) con respecto a diciembre de 2024. Dicho incremento está determinado por la continuidad de las medidas impulsadas por parte de la administración tributaria y aduanera, las que consisten en la ejecución de planes de fiscalización para combatir la evasión y el contrabando, así como, por los rendimientos de las amnistías fiscales que se implementaron durante el año y por la expansión de la facturación electrónica. </w:t>
      </w:r>
    </w:p>
    <w:p w14:paraId="1CDBE9D2" w14:textId="77777777" w:rsidR="00A747DD" w:rsidRPr="009B6C0B" w:rsidRDefault="00A747DD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3BA5EA51" w14:textId="77777777" w:rsidR="00A747DD" w:rsidRPr="009B6C0B" w:rsidRDefault="00255E85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Este resultado también es consistente con las estimaciones de crecimiento económico que según informes del BCR, estiman que la economía salvadoreña registrará un crecimiento preliminar de 3.5% a 4.0% para el cierre de 2025, sustentado por el </w:t>
      </w:r>
      <w:r w:rsidRPr="009B6C0B">
        <w:rPr>
          <w:rFonts w:ascii="Museo Sans 300" w:eastAsia="Museo Sans 300" w:hAnsi="Museo Sans 300" w:cs="Museo Sans 300"/>
          <w:sz w:val="22"/>
          <w:szCs w:val="22"/>
        </w:rPr>
        <w:lastRenderedPageBreak/>
        <w:t>dinamismo observado en la actividad económica salvadoreña, medido por el crecimiento observado en el PIB del tercer trimestre 2026 que registró una variación de 5.1%, así como el comportamiento reflejado en el IVAE de 4.5% en el mes de noviembre 2025, según lo reportado por el BCR.</w:t>
      </w:r>
    </w:p>
    <w:p w14:paraId="671AF4C6" w14:textId="77777777" w:rsidR="00A747DD" w:rsidRPr="009B6C0B" w:rsidRDefault="00A747DD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102D377C" w14:textId="77777777" w:rsidR="00A747DD" w:rsidRPr="009B6C0B" w:rsidRDefault="00255E85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>En el resultado tributario destaca el desempeño de la recaudación del Impuesto al Valor Agregado (IVA) y del Impuesto Sobre la Renta que en conjunto ambos impuestos sumaron un total de $7,145.9 millones, representando un 88.1 % del total de Ingresos Tributarios. Como resultado de lo anterior, el coeficiente de tributación con relación al PIB fue equivalente a 22.2%,</w:t>
      </w:r>
      <w:r w:rsidRPr="009B6C0B">
        <w:rPr>
          <w:rFonts w:ascii="Museo Sans 300" w:eastAsia="Museo Sans 100" w:hAnsi="Museo Sans 300" w:cs="Museo Sans 100"/>
          <w:i/>
          <w:iCs/>
          <w:sz w:val="22"/>
          <w:szCs w:val="22"/>
        </w:rPr>
        <w:t xml:space="preserve"> </w:t>
      </w:r>
      <w:r w:rsidRPr="009B6C0B">
        <w:rPr>
          <w:rFonts w:ascii="Museo Sans 300" w:eastAsia="Museo Sans 300" w:hAnsi="Museo Sans 300" w:cs="Museo Sans 300"/>
          <w:sz w:val="22"/>
          <w:szCs w:val="22"/>
        </w:rPr>
        <w:t>mayor en 1.0 puntos porcentuales, a lo obtenido en igual período del año anterior</w:t>
      </w:r>
    </w:p>
    <w:p w14:paraId="31B64493" w14:textId="77777777" w:rsidR="00A747DD" w:rsidRPr="009B6C0B" w:rsidRDefault="00A747DD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38717B8B" w14:textId="77777777" w:rsidR="00A747DD" w:rsidRPr="009B6C0B" w:rsidRDefault="00255E85" w:rsidP="00D0041A">
      <w:pPr>
        <w:spacing w:line="276" w:lineRule="auto"/>
        <w:rPr>
          <w:rFonts w:ascii="Museo Sans 300" w:eastAsia="Museo Sans 300" w:hAnsi="Museo Sans 300" w:cs="Museo Sans 300"/>
          <w:i/>
          <w:iCs/>
          <w:sz w:val="22"/>
          <w:szCs w:val="22"/>
        </w:rPr>
      </w:pPr>
      <w:r w:rsidRPr="009B6C0B">
        <w:rPr>
          <w:rFonts w:ascii="Museo Sans 300" w:eastAsia="Museo Sans 300" w:hAnsi="Museo Sans 300" w:cs="Museo Sans 300"/>
          <w:i/>
          <w:iCs/>
          <w:sz w:val="22"/>
          <w:szCs w:val="22"/>
        </w:rPr>
        <w:t>Gráfico 2: Ingresos tributarios del SPNF a diciembre 2020 -2025</w:t>
      </w:r>
    </w:p>
    <w:p w14:paraId="749D498D" w14:textId="77777777" w:rsidR="00A747DD" w:rsidRPr="009B6C0B" w:rsidRDefault="0058595B">
      <w:pPr>
        <w:spacing w:line="276" w:lineRule="auto"/>
        <w:jc w:val="center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hAnsi="Museo Sans 300"/>
          <w:noProof/>
        </w:rPr>
        <w:drawing>
          <wp:inline distT="0" distB="0" distL="0" distR="0" wp14:anchorId="01CE9E80" wp14:editId="3CF801E2">
            <wp:extent cx="5614670" cy="3174023"/>
            <wp:effectExtent l="0" t="0" r="5080" b="7620"/>
            <wp:docPr id="23" name="Gráfico 2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5B2A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11BA00E" w14:textId="77777777" w:rsidR="00A747DD" w:rsidRPr="009B6C0B" w:rsidRDefault="00255E85">
      <w:pPr>
        <w:spacing w:line="276" w:lineRule="auto"/>
        <w:rPr>
          <w:rFonts w:ascii="Museo Sans 300" w:eastAsia="Museo Sans 300" w:hAnsi="Museo Sans 300" w:cs="Museo Sans 300"/>
          <w:sz w:val="18"/>
          <w:szCs w:val="18"/>
        </w:rPr>
      </w:pPr>
      <w:r w:rsidRPr="009B6C0B">
        <w:rPr>
          <w:rFonts w:ascii="Museo Sans 300" w:eastAsia="Museo Sans 300" w:hAnsi="Museo Sans 300" w:cs="Museo Sans 300"/>
          <w:sz w:val="18"/>
          <w:szCs w:val="18"/>
        </w:rPr>
        <w:t>Fuente: Ministerio de Hacienda</w:t>
      </w:r>
    </w:p>
    <w:p w14:paraId="2BD8206A" w14:textId="77777777" w:rsidR="00A747DD" w:rsidRPr="009B6C0B" w:rsidRDefault="00A747DD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1D60487E" w14:textId="77777777" w:rsidR="00A747DD" w:rsidRPr="009B6C0B" w:rsidRDefault="00255E85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>De forma detallada, el Impuesto al Valor Agregado registró un monto de $3,817.6 millones, mostrando un incremento de 9.0%, como resultado de variaciones positivas de sus componentes, en donde se destaca la variación del IVA Importación con un crecimiento del 10.6% y en IVA declaración (7.2%). Dentro de la composición de los Ingresos Tributarios, el IVA representó el 47.1% del total.</w:t>
      </w:r>
    </w:p>
    <w:p w14:paraId="11C9D647" w14:textId="77777777" w:rsidR="00A747DD" w:rsidRPr="009B6C0B" w:rsidRDefault="00A747DD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072E26BB" w14:textId="77777777" w:rsidR="00A747DD" w:rsidRPr="009B6C0B" w:rsidRDefault="00255E85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Por su parte, el Impuesto sobre la Renta alcanzó un valor recaudado de $3,328.3 millones, observándose un aumento de 7.3% respecto al mismo período en 2024; reflejado por el comportamiento en todos sus componentes con las siguientes variaciones: pago a cuenta (6.9%), Retenciones (5.8%) y Declaraciones (10.0%). Dentro del total de ingresos tributarios, representó un 41.0%. </w:t>
      </w:r>
    </w:p>
    <w:p w14:paraId="10908B9C" w14:textId="77777777" w:rsidR="00A747DD" w:rsidRPr="009B6C0B" w:rsidRDefault="00A747DD">
      <w:pPr>
        <w:jc w:val="both"/>
        <w:rPr>
          <w:rFonts w:ascii="Museo Sans 300" w:eastAsia="Museo Sans 300" w:hAnsi="Museo Sans 300" w:cs="Museo Sans 300"/>
          <w:color w:val="FF0000"/>
          <w:sz w:val="22"/>
          <w:szCs w:val="22"/>
        </w:rPr>
      </w:pPr>
    </w:p>
    <w:p w14:paraId="14489194" w14:textId="77777777" w:rsidR="00A747DD" w:rsidRPr="009B6C0B" w:rsidRDefault="00255E85">
      <w:pPr>
        <w:spacing w:line="276" w:lineRule="auto"/>
        <w:jc w:val="both"/>
        <w:rPr>
          <w:rFonts w:ascii="Museo Sans 300" w:eastAsia="Museo Sans 300" w:hAnsi="Museo Sans 300" w:cs="Museo Sans 300"/>
          <w:color w:val="FF0000"/>
          <w:sz w:val="22"/>
          <w:szCs w:val="22"/>
        </w:rPr>
      </w:pPr>
      <w:bookmarkStart w:id="11" w:name="_jpiq57mfq64w" w:colFirst="0" w:colLast="0"/>
      <w:bookmarkEnd w:id="11"/>
      <w:r w:rsidRPr="009B6C0B">
        <w:rPr>
          <w:rFonts w:ascii="Museo Sans 300" w:eastAsia="Museo Sans 300" w:hAnsi="Museo Sans 300" w:cs="Museo Sans 300"/>
          <w:sz w:val="22"/>
          <w:szCs w:val="22"/>
        </w:rPr>
        <w:t>La recaudación por Derechos Arancelarios a la Importación de Bienes registró un total de $383.0 millones, mostrando un incremento de 12.4% con respecto a diciembre 2024</w:t>
      </w:r>
      <w:r w:rsidRPr="009B6C0B">
        <w:rPr>
          <w:rFonts w:ascii="Museo Sans 300" w:eastAsia="Museo Sans 300" w:hAnsi="Museo Sans 300" w:cs="Museo Sans 300"/>
          <w:i/>
          <w:iCs/>
          <w:sz w:val="22"/>
          <w:szCs w:val="22"/>
        </w:rPr>
        <w:t xml:space="preserve"> </w:t>
      </w:r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consistente con el registro de las importaciones de bienes que presentó una variación anual positiva de 12.9%. </w:t>
      </w:r>
    </w:p>
    <w:p w14:paraId="3F058D31" w14:textId="77777777" w:rsidR="00A747DD" w:rsidRPr="009B6C0B" w:rsidRDefault="00A747DD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53067401" w14:textId="77777777" w:rsidR="0058595B" w:rsidRPr="009B6C0B" w:rsidRDefault="00255E85" w:rsidP="00D0041A">
      <w:pPr>
        <w:spacing w:after="240" w:line="276" w:lineRule="auto"/>
        <w:rPr>
          <w:rFonts w:ascii="Museo Sans 300" w:eastAsia="Museo Sans 300" w:hAnsi="Museo Sans 300" w:cs="Museo Sans 300"/>
          <w:i/>
          <w:iCs/>
          <w:sz w:val="22"/>
          <w:szCs w:val="22"/>
        </w:rPr>
      </w:pPr>
      <w:r w:rsidRPr="009B6C0B">
        <w:rPr>
          <w:rFonts w:ascii="Museo Sans 300" w:eastAsia="Museo Sans 300" w:hAnsi="Museo Sans 300" w:cs="Museo Sans 300"/>
          <w:i/>
          <w:iCs/>
          <w:sz w:val="22"/>
          <w:szCs w:val="22"/>
        </w:rPr>
        <w:t>Gráfico 3: Ingresos tributarios del SPNF por fuentes a diciembre 2020 -2025</w:t>
      </w:r>
    </w:p>
    <w:p w14:paraId="399D3716" w14:textId="77777777" w:rsidR="00A747DD" w:rsidRPr="009B6C0B" w:rsidRDefault="0058595B">
      <w:pPr>
        <w:spacing w:line="276" w:lineRule="auto"/>
        <w:jc w:val="center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hAnsi="Museo Sans 300"/>
          <w:noProof/>
        </w:rPr>
        <w:drawing>
          <wp:inline distT="0" distB="0" distL="0" distR="0" wp14:anchorId="089738CD" wp14:editId="11B8D164">
            <wp:extent cx="5614670" cy="3103685"/>
            <wp:effectExtent l="0" t="0" r="5080" b="1905"/>
            <wp:docPr id="26" name="Gráfico 26">
              <a:extLst xmlns:a="http://schemas.openxmlformats.org/drawingml/2006/main">
                <a:ext uri="{FF2B5EF4-FFF2-40B4-BE49-F238E27FC236}">
                  <a16:creationId xmlns:a16="http://schemas.microsoft.com/office/drawing/2014/main" id="{53272232-05AC-40E9-A0E5-AD79430AF58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F570FF9" w14:textId="69ADD041" w:rsidR="00A747DD" w:rsidRPr="009B6C0B" w:rsidRDefault="00255E85" w:rsidP="00D0041A">
      <w:pPr>
        <w:spacing w:line="276" w:lineRule="auto"/>
        <w:jc w:val="both"/>
        <w:rPr>
          <w:rFonts w:ascii="Museo Sans 300" w:eastAsia="Museo Sans 300" w:hAnsi="Museo Sans 300" w:cs="Museo Sans 300"/>
          <w:sz w:val="18"/>
          <w:szCs w:val="18"/>
        </w:rPr>
      </w:pPr>
      <w:r w:rsidRPr="009B6C0B">
        <w:rPr>
          <w:rFonts w:ascii="Museo Sans 300" w:eastAsia="Museo Sans 300" w:hAnsi="Museo Sans 300" w:cs="Museo Sans 300"/>
          <w:sz w:val="18"/>
          <w:szCs w:val="18"/>
        </w:rPr>
        <w:t xml:space="preserve">Fuente: Ministerio de Hacienda </w:t>
      </w:r>
    </w:p>
    <w:p w14:paraId="2A0C9A27" w14:textId="77777777" w:rsidR="00A747DD" w:rsidRPr="009B6C0B" w:rsidRDefault="00A747DD">
      <w:pPr>
        <w:spacing w:line="276" w:lineRule="auto"/>
        <w:jc w:val="center"/>
        <w:rPr>
          <w:rFonts w:ascii="Museo Sans 300" w:eastAsia="Museo Sans 300" w:hAnsi="Museo Sans 300" w:cs="Museo Sans 300"/>
          <w:sz w:val="16"/>
          <w:szCs w:val="16"/>
        </w:rPr>
      </w:pPr>
    </w:p>
    <w:p w14:paraId="408283B7" w14:textId="77777777" w:rsidR="00A747DD" w:rsidRPr="009B6C0B" w:rsidRDefault="00255E85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>En cuanto a los Impuestos Específicos al Consumo de Productos, estos registraron un valor de $245.1 millones, equivalente a un aumento de 3.9%, con respecto a diciembre 2024, resultado neto de variaciones positivas y negativas en sus componentes.</w:t>
      </w:r>
    </w:p>
    <w:p w14:paraId="6A03CA23" w14:textId="77777777" w:rsidR="00A747DD" w:rsidRPr="009B6C0B" w:rsidRDefault="00A747DD">
      <w:pPr>
        <w:spacing w:line="276" w:lineRule="auto"/>
        <w:jc w:val="center"/>
        <w:rPr>
          <w:rFonts w:ascii="Museo Sans 300" w:eastAsia="Museo Sans 300" w:hAnsi="Museo Sans 300" w:cs="Museo Sans 300"/>
          <w:i/>
          <w:iCs/>
          <w:sz w:val="16"/>
          <w:szCs w:val="16"/>
        </w:rPr>
      </w:pPr>
    </w:p>
    <w:p w14:paraId="2E6E8592" w14:textId="77777777" w:rsidR="00A747DD" w:rsidRPr="009B6C0B" w:rsidRDefault="00255E85" w:rsidP="00661F97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>Las Contribuciones Especiales alcanzaron un valor de $206.2 millones, experimentando un incremento de 6.1%, con relación al mismo mes del año anterior, sobresaliendo la Contribución Especial del FOVIAL, con un crecimiento de 6.9%</w:t>
      </w:r>
      <w:r w:rsidRPr="009B6C0B">
        <w:rPr>
          <w:rFonts w:ascii="Museo Sans 300" w:eastAsia="Museo Sans 300" w:hAnsi="Museo Sans 300" w:cs="Museo Sans 300"/>
          <w:sz w:val="22"/>
          <w:szCs w:val="22"/>
          <w:vertAlign w:val="superscript"/>
        </w:rPr>
        <w:footnoteReference w:id="2"/>
      </w:r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, seguido de la Contribución al Transporte Público que creció 7.0% respecto al año anterior. </w:t>
      </w:r>
    </w:p>
    <w:p w14:paraId="6106F83F" w14:textId="77777777" w:rsidR="00661F97" w:rsidRPr="009B6C0B" w:rsidRDefault="00661F97" w:rsidP="00661F97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68E01DB6" w14:textId="3340E1A1" w:rsidR="00A747DD" w:rsidRPr="009B6C0B" w:rsidRDefault="00255E85" w:rsidP="00D0041A">
      <w:pPr>
        <w:spacing w:after="240"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>En el rubro Otros, compuesto principalmente por transferencias de propiedades y el Impuesto Especial 1ª. Matrícula), la recaudación ascendió a $128.6 millones con un crecimiento del 17.6% con respecto al resultado obtenido en diciembre de 2024.</w:t>
      </w:r>
    </w:p>
    <w:p w14:paraId="78E0B6D1" w14:textId="77777777" w:rsidR="00A747DD" w:rsidRPr="00A23FAA" w:rsidRDefault="00255E85" w:rsidP="00D0041A">
      <w:pPr>
        <w:spacing w:line="276" w:lineRule="auto"/>
        <w:rPr>
          <w:rFonts w:ascii="Museo Sans 300" w:eastAsia="Museo Sans 300" w:hAnsi="Museo Sans 300" w:cs="Museo Sans 300"/>
          <w:i/>
          <w:sz w:val="22"/>
          <w:szCs w:val="22"/>
        </w:rPr>
      </w:pPr>
      <w:r w:rsidRPr="00A23FAA">
        <w:rPr>
          <w:rFonts w:ascii="Museo Sans 300" w:eastAsia="Museo Sans 300" w:hAnsi="Museo Sans 300" w:cs="Museo Sans 300"/>
          <w:i/>
          <w:sz w:val="22"/>
          <w:szCs w:val="22"/>
        </w:rPr>
        <w:lastRenderedPageBreak/>
        <w:t xml:space="preserve">Tabla No. 1 Estructura de Ingresos Tributarios a diciembre 2020 -2025 </w:t>
      </w:r>
    </w:p>
    <w:p w14:paraId="5FD258C0" w14:textId="77777777" w:rsidR="00A747DD" w:rsidRPr="00A23FAA" w:rsidRDefault="00255E85" w:rsidP="00D0041A">
      <w:pPr>
        <w:spacing w:after="240" w:line="276" w:lineRule="auto"/>
        <w:rPr>
          <w:rFonts w:ascii="Museo Sans 300" w:eastAsia="Museo Sans 300" w:hAnsi="Museo Sans 300" w:cs="Museo Sans 300"/>
          <w:i/>
          <w:sz w:val="22"/>
          <w:szCs w:val="22"/>
        </w:rPr>
      </w:pPr>
      <w:r w:rsidRPr="00A23FAA">
        <w:rPr>
          <w:rFonts w:ascii="Museo Sans 300" w:eastAsia="Museo Sans 300" w:hAnsi="Museo Sans 300" w:cs="Museo Sans 300"/>
          <w:i/>
          <w:sz w:val="22"/>
          <w:szCs w:val="22"/>
        </w:rPr>
        <w:t>(Millones de $, como % del total de ingresos y % del PIB).</w:t>
      </w:r>
    </w:p>
    <w:tbl>
      <w:tblPr>
        <w:tblW w:w="5019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8"/>
        <w:gridCol w:w="843"/>
        <w:gridCol w:w="841"/>
        <w:gridCol w:w="854"/>
        <w:gridCol w:w="852"/>
        <w:gridCol w:w="944"/>
        <w:gridCol w:w="904"/>
      </w:tblGrid>
      <w:tr w:rsidR="009B6C0B" w:rsidRPr="009B6C0B" w14:paraId="54557CEB" w14:textId="77777777" w:rsidTr="009B6C0B">
        <w:trPr>
          <w:trHeight w:val="203"/>
        </w:trPr>
        <w:tc>
          <w:tcPr>
            <w:tcW w:w="204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3A39C16" w14:textId="77777777" w:rsidR="0058595B" w:rsidRPr="009B6C0B" w:rsidRDefault="0058595B" w:rsidP="0058595B">
            <w:pPr>
              <w:jc w:val="center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Descripción</w:t>
            </w:r>
          </w:p>
        </w:tc>
        <w:tc>
          <w:tcPr>
            <w:tcW w:w="47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6A7C5C4" w14:textId="77777777" w:rsidR="0058595B" w:rsidRPr="009B6C0B" w:rsidRDefault="0058595B" w:rsidP="0058595B">
            <w:pPr>
              <w:jc w:val="center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2020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D5ADEDE" w14:textId="77777777" w:rsidR="0058595B" w:rsidRPr="009B6C0B" w:rsidRDefault="0058595B" w:rsidP="0058595B">
            <w:pPr>
              <w:jc w:val="center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2021</w:t>
            </w:r>
          </w:p>
        </w:tc>
        <w:tc>
          <w:tcPr>
            <w:tcW w:w="47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224F5B8" w14:textId="77777777" w:rsidR="0058595B" w:rsidRPr="009B6C0B" w:rsidRDefault="0058595B" w:rsidP="0058595B">
            <w:pPr>
              <w:jc w:val="center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2022</w:t>
            </w:r>
          </w:p>
        </w:tc>
        <w:tc>
          <w:tcPr>
            <w:tcW w:w="47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EF34C1D" w14:textId="77777777" w:rsidR="0058595B" w:rsidRPr="009B6C0B" w:rsidRDefault="0058595B" w:rsidP="0058595B">
            <w:pPr>
              <w:jc w:val="center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2023</w:t>
            </w:r>
          </w:p>
        </w:tc>
        <w:tc>
          <w:tcPr>
            <w:tcW w:w="53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6BBDE2F" w14:textId="77777777" w:rsidR="0058595B" w:rsidRPr="009B6C0B" w:rsidRDefault="0058595B" w:rsidP="0058595B">
            <w:pPr>
              <w:jc w:val="center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2024</w:t>
            </w:r>
          </w:p>
        </w:tc>
        <w:tc>
          <w:tcPr>
            <w:tcW w:w="50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0478F6A" w14:textId="77777777" w:rsidR="0058595B" w:rsidRPr="009B6C0B" w:rsidRDefault="0058595B" w:rsidP="0058595B">
            <w:pPr>
              <w:jc w:val="center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2025</w:t>
            </w:r>
          </w:p>
        </w:tc>
      </w:tr>
      <w:tr w:rsidR="00F74462" w:rsidRPr="009B6C0B" w14:paraId="78DA9CB8" w14:textId="77777777" w:rsidTr="009B6C0B">
        <w:trPr>
          <w:trHeight w:val="203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6320A" w14:textId="77777777" w:rsidR="0058595B" w:rsidRPr="009B6C0B" w:rsidRDefault="0058595B" w:rsidP="0058595B">
            <w:pPr>
              <w:jc w:val="center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Millones de US$</w:t>
            </w:r>
          </w:p>
        </w:tc>
      </w:tr>
      <w:tr w:rsidR="009B6C0B" w:rsidRPr="009B6C0B" w14:paraId="003C1075" w14:textId="77777777" w:rsidTr="009B6C0B">
        <w:trPr>
          <w:trHeight w:val="296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BB3F0B" w14:textId="77777777" w:rsidR="0058595B" w:rsidRPr="009B6C0B" w:rsidRDefault="0058595B" w:rsidP="0058595B">
            <w:pPr>
              <w:ind w:firstLineChars="100" w:firstLine="160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1. Impuesto al Valor Agregado (IVA)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E811C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2,072.9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BC93E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2,790.5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42098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3,024.8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35597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3,176.2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74AAF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3,500.9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90AB1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 w:cs="Arial"/>
                <w:sz w:val="16"/>
                <w:lang w:val="es-SV"/>
              </w:rPr>
            </w:pPr>
            <w:r w:rsidRPr="009B6C0B">
              <w:rPr>
                <w:rFonts w:ascii="Museo Sans 300" w:eastAsia="Times New Roman" w:hAnsi="Museo Sans 300" w:cs="Arial"/>
                <w:sz w:val="16"/>
                <w:lang w:val="es-SV"/>
              </w:rPr>
              <w:t>3817.6</w:t>
            </w:r>
          </w:p>
        </w:tc>
      </w:tr>
      <w:tr w:rsidR="009B6C0B" w:rsidRPr="009B6C0B" w14:paraId="603B7855" w14:textId="77777777" w:rsidTr="009B6C0B">
        <w:trPr>
          <w:trHeight w:val="296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4FF833" w14:textId="77777777" w:rsidR="0058595B" w:rsidRPr="009B6C0B" w:rsidRDefault="0058595B" w:rsidP="0058595B">
            <w:pPr>
              <w:ind w:firstLineChars="100" w:firstLine="160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2. Impuesto sobre la Renta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18FFF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1,907.1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E1F32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2,225.8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FC125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2,782.3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16536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2,877.4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48802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3,102.8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281D4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 w:cs="Arial"/>
                <w:sz w:val="16"/>
                <w:lang w:val="es-SV"/>
              </w:rPr>
            </w:pPr>
            <w:r w:rsidRPr="009B6C0B">
              <w:rPr>
                <w:rFonts w:ascii="Museo Sans 300" w:eastAsia="Times New Roman" w:hAnsi="Museo Sans 300" w:cs="Arial"/>
                <w:sz w:val="16"/>
                <w:lang w:val="es-SV"/>
              </w:rPr>
              <w:t>3328.3</w:t>
            </w:r>
          </w:p>
        </w:tc>
      </w:tr>
      <w:tr w:rsidR="009B6C0B" w:rsidRPr="009B6C0B" w14:paraId="3F0940A8" w14:textId="77777777" w:rsidTr="009B6C0B">
        <w:trPr>
          <w:trHeight w:val="296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84384F" w14:textId="77777777" w:rsidR="0058595B" w:rsidRPr="009B6C0B" w:rsidRDefault="0058595B" w:rsidP="0058595B">
            <w:pPr>
              <w:ind w:firstLineChars="100" w:firstLine="160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3. Derechos Arancelarios a la Importación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109F6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186.8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80558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291.2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1FF26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318.7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62A26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322.1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BC960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340.7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92BFC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 w:cs="Arial"/>
                <w:sz w:val="16"/>
                <w:lang w:val="es-SV"/>
              </w:rPr>
            </w:pPr>
            <w:r w:rsidRPr="009B6C0B">
              <w:rPr>
                <w:rFonts w:ascii="Museo Sans 300" w:eastAsia="Times New Roman" w:hAnsi="Museo Sans 300" w:cs="Arial"/>
                <w:sz w:val="16"/>
                <w:lang w:val="es-SV"/>
              </w:rPr>
              <w:t>383</w:t>
            </w:r>
          </w:p>
        </w:tc>
      </w:tr>
      <w:tr w:rsidR="009B6C0B" w:rsidRPr="009B6C0B" w14:paraId="45E7713D" w14:textId="77777777" w:rsidTr="009B6C0B">
        <w:trPr>
          <w:trHeight w:val="296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024C43" w14:textId="77777777" w:rsidR="0058595B" w:rsidRPr="009B6C0B" w:rsidRDefault="0058595B" w:rsidP="0058595B">
            <w:pPr>
              <w:ind w:firstLineChars="100" w:firstLine="160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4. Impuestos Específicos al Consumo</w:t>
            </w: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 xml:space="preserve"> </w:t>
            </w:r>
            <w:r w:rsidRPr="009B6C0B">
              <w:rPr>
                <w:rFonts w:ascii="Museo Sans 300" w:eastAsia="Times New Roman" w:hAnsi="Museo Sans 300"/>
                <w:sz w:val="16"/>
                <w:szCs w:val="22"/>
                <w:u w:val="single"/>
                <w:lang w:val="es-SV"/>
              </w:rPr>
              <w:t>1</w:t>
            </w: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u w:val="single"/>
                <w:lang w:val="es-SV"/>
              </w:rPr>
              <w:t>/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4A160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185.0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F9D17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225.2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A648E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225.9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07653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232.0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826B7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235.9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22F25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 w:cs="Arial"/>
                <w:sz w:val="16"/>
                <w:lang w:val="es-SV"/>
              </w:rPr>
            </w:pPr>
            <w:r w:rsidRPr="009B6C0B">
              <w:rPr>
                <w:rFonts w:ascii="Museo Sans 300" w:eastAsia="Times New Roman" w:hAnsi="Museo Sans 300" w:cs="Arial"/>
                <w:sz w:val="16"/>
                <w:lang w:val="es-SV"/>
              </w:rPr>
              <w:t>245.1</w:t>
            </w:r>
          </w:p>
        </w:tc>
      </w:tr>
      <w:tr w:rsidR="009B6C0B" w:rsidRPr="009B6C0B" w14:paraId="4905C8B6" w14:textId="77777777" w:rsidTr="009B6C0B">
        <w:trPr>
          <w:trHeight w:val="296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EFFFFC" w14:textId="77777777" w:rsidR="0058595B" w:rsidRPr="009B6C0B" w:rsidRDefault="0058595B" w:rsidP="0058595B">
            <w:pPr>
              <w:ind w:firstLineChars="100" w:firstLine="160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 xml:space="preserve">5. Contribuciones Especiales </w:t>
            </w:r>
            <w:r w:rsidRPr="009B6C0B">
              <w:rPr>
                <w:rFonts w:ascii="Museo Sans 300" w:eastAsia="Times New Roman" w:hAnsi="Museo Sans 300"/>
                <w:sz w:val="16"/>
                <w:szCs w:val="22"/>
                <w:u w:val="single"/>
                <w:lang w:val="es-SV"/>
              </w:rPr>
              <w:t>2</w:t>
            </w: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u w:val="single"/>
                <w:lang w:val="es-SV"/>
              </w:rPr>
              <w:t>/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C43AF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241.1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D61F2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239.4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364CB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148.8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E9E76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183.3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1B8C2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194.3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9C48B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 w:cs="Arial"/>
                <w:sz w:val="16"/>
                <w:lang w:val="es-SV"/>
              </w:rPr>
            </w:pPr>
            <w:r w:rsidRPr="009B6C0B">
              <w:rPr>
                <w:rFonts w:ascii="Museo Sans 300" w:eastAsia="Times New Roman" w:hAnsi="Museo Sans 300" w:cs="Arial"/>
                <w:sz w:val="16"/>
                <w:lang w:val="es-SV"/>
              </w:rPr>
              <w:t>206.2</w:t>
            </w:r>
          </w:p>
        </w:tc>
      </w:tr>
      <w:tr w:rsidR="009B6C0B" w:rsidRPr="009B6C0B" w14:paraId="27E7F090" w14:textId="77777777" w:rsidTr="009B6C0B">
        <w:trPr>
          <w:trHeight w:val="296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F1BB24" w14:textId="77777777" w:rsidR="0058595B" w:rsidRPr="009B6C0B" w:rsidRDefault="0058595B" w:rsidP="0058595B">
            <w:pPr>
              <w:ind w:firstLineChars="100" w:firstLine="160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 xml:space="preserve">6. Otros </w:t>
            </w:r>
            <w:r w:rsidRPr="009B6C0B">
              <w:rPr>
                <w:rFonts w:ascii="Museo Sans 300" w:eastAsia="Times New Roman" w:hAnsi="Museo Sans 300"/>
                <w:sz w:val="16"/>
                <w:szCs w:val="22"/>
                <w:u w:val="single"/>
                <w:lang w:val="es-SV"/>
              </w:rPr>
              <w:t>3</w:t>
            </w: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u w:val="single"/>
                <w:lang w:val="es-SV"/>
              </w:rPr>
              <w:t>/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549CA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33.0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CB203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61.4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5D895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71.1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2AE83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90.8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D9E06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109.3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41C21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 w:cs="Arial"/>
                <w:sz w:val="16"/>
                <w:lang w:val="es-SV"/>
              </w:rPr>
            </w:pPr>
            <w:r w:rsidRPr="009B6C0B">
              <w:rPr>
                <w:rFonts w:ascii="Museo Sans 300" w:eastAsia="Times New Roman" w:hAnsi="Museo Sans 300" w:cs="Arial"/>
                <w:sz w:val="16"/>
                <w:lang w:val="es-SV"/>
              </w:rPr>
              <w:t>128.6</w:t>
            </w:r>
          </w:p>
        </w:tc>
      </w:tr>
      <w:tr w:rsidR="009B6C0B" w:rsidRPr="009B6C0B" w14:paraId="598979DD" w14:textId="77777777" w:rsidTr="009B6C0B">
        <w:trPr>
          <w:trHeight w:val="296"/>
        </w:trPr>
        <w:tc>
          <w:tcPr>
            <w:tcW w:w="20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08047E3C" w14:textId="77777777" w:rsidR="0058595B" w:rsidRPr="009B6C0B" w:rsidRDefault="0058595B" w:rsidP="0058595B">
            <w:pPr>
              <w:jc w:val="center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Total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F6B86EF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4,625.9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4B244F12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5,833.5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4AFA53FC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6,571.7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0074BA5A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6,881.7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191DACF8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7,483.8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22816842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8,108.8</w:t>
            </w:r>
          </w:p>
        </w:tc>
      </w:tr>
      <w:tr w:rsidR="00F74462" w:rsidRPr="009B6C0B" w14:paraId="61A9F172" w14:textId="77777777" w:rsidTr="009B6C0B">
        <w:trPr>
          <w:trHeight w:val="296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4F93B" w14:textId="77777777" w:rsidR="0058595B" w:rsidRPr="009B6C0B" w:rsidRDefault="0058595B" w:rsidP="0058595B">
            <w:pPr>
              <w:jc w:val="center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Como % del Total</w:t>
            </w:r>
          </w:p>
        </w:tc>
      </w:tr>
      <w:tr w:rsidR="009B6C0B" w:rsidRPr="009B6C0B" w14:paraId="2171AF63" w14:textId="77777777" w:rsidTr="009B6C0B">
        <w:trPr>
          <w:trHeight w:val="296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A09847" w14:textId="77777777" w:rsidR="0058595B" w:rsidRPr="009B6C0B" w:rsidRDefault="0058595B" w:rsidP="0058595B">
            <w:pPr>
              <w:ind w:firstLineChars="100" w:firstLine="160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1. Impuesto al Valor Agregado (IVA)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EAAEA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44.8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FCC04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47.8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29CB5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46.0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28AEC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46.2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837EF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46.8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68824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47.1</w:t>
            </w:r>
          </w:p>
        </w:tc>
      </w:tr>
      <w:tr w:rsidR="009B6C0B" w:rsidRPr="009B6C0B" w14:paraId="0755DF44" w14:textId="77777777" w:rsidTr="009B6C0B">
        <w:trPr>
          <w:trHeight w:val="296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62286E" w14:textId="77777777" w:rsidR="0058595B" w:rsidRPr="009B6C0B" w:rsidRDefault="0058595B" w:rsidP="0058595B">
            <w:pPr>
              <w:ind w:firstLineChars="100" w:firstLine="160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2. Impuesto sobre la Renta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5D808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41.2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D7D1A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38.2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5323F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42.3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598FD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41.8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B16BA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41.5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97DD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41.0</w:t>
            </w:r>
          </w:p>
        </w:tc>
      </w:tr>
      <w:tr w:rsidR="009B6C0B" w:rsidRPr="009B6C0B" w14:paraId="2610F6CD" w14:textId="77777777" w:rsidTr="009B6C0B">
        <w:trPr>
          <w:trHeight w:val="296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62EF5A" w14:textId="77777777" w:rsidR="0058595B" w:rsidRPr="009B6C0B" w:rsidRDefault="0058595B" w:rsidP="0058595B">
            <w:pPr>
              <w:ind w:firstLineChars="100" w:firstLine="160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3. Derechos Arancelarios a las Importaciones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4F349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4.0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61C13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5.0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FD59A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4.8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2407A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4.7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03F65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4.6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CCC93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4.7</w:t>
            </w:r>
          </w:p>
        </w:tc>
      </w:tr>
      <w:tr w:rsidR="009B6C0B" w:rsidRPr="009B6C0B" w14:paraId="5A2568B5" w14:textId="77777777" w:rsidTr="009B6C0B">
        <w:trPr>
          <w:trHeight w:val="296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D8D051" w14:textId="77777777" w:rsidR="0058595B" w:rsidRPr="009B6C0B" w:rsidRDefault="0058595B" w:rsidP="0058595B">
            <w:pPr>
              <w:ind w:firstLineChars="100" w:firstLine="160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 xml:space="preserve">4. Impuestos Específicos al Consumo </w:t>
            </w:r>
            <w:r w:rsidRPr="009B6C0B">
              <w:rPr>
                <w:rFonts w:ascii="Museo Sans 300" w:eastAsia="Times New Roman" w:hAnsi="Museo Sans 300"/>
                <w:sz w:val="16"/>
                <w:szCs w:val="22"/>
                <w:u w:val="single"/>
                <w:lang w:val="es-SV"/>
              </w:rPr>
              <w:t>1</w:t>
            </w: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u w:val="single"/>
                <w:lang w:val="es-SV"/>
              </w:rPr>
              <w:t>/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C95F4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4.0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1AC72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3.9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18673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3.4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FDF58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3.4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7E638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3.2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7D57A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3.0</w:t>
            </w:r>
          </w:p>
        </w:tc>
      </w:tr>
      <w:tr w:rsidR="009B6C0B" w:rsidRPr="009B6C0B" w14:paraId="2CBB6478" w14:textId="77777777" w:rsidTr="009B6C0B">
        <w:trPr>
          <w:trHeight w:val="296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2EDB37" w14:textId="77777777" w:rsidR="0058595B" w:rsidRPr="009B6C0B" w:rsidRDefault="0058595B" w:rsidP="0058595B">
            <w:pPr>
              <w:ind w:firstLineChars="100" w:firstLine="160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5. Contribuciones Especiales</w:t>
            </w: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 xml:space="preserve"> </w:t>
            </w:r>
            <w:r w:rsidRPr="009B6C0B">
              <w:rPr>
                <w:rFonts w:ascii="Museo Sans 300" w:eastAsia="Times New Roman" w:hAnsi="Museo Sans 300"/>
                <w:sz w:val="16"/>
                <w:szCs w:val="22"/>
                <w:u w:val="single"/>
                <w:lang w:val="es-SV"/>
              </w:rPr>
              <w:t>2</w:t>
            </w: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u w:val="single"/>
                <w:lang w:val="es-SV"/>
              </w:rPr>
              <w:t>/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CC9A9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5.2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13BD3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4.1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0E8E9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2.3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43BFE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2.7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E30CE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2.6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304C8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2.5</w:t>
            </w:r>
          </w:p>
        </w:tc>
      </w:tr>
      <w:tr w:rsidR="009B6C0B" w:rsidRPr="009B6C0B" w14:paraId="52AAFE59" w14:textId="77777777" w:rsidTr="009B6C0B">
        <w:trPr>
          <w:trHeight w:val="296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0A1428" w14:textId="77777777" w:rsidR="0058595B" w:rsidRPr="009B6C0B" w:rsidRDefault="0058595B" w:rsidP="0058595B">
            <w:pPr>
              <w:ind w:firstLineChars="100" w:firstLine="160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 xml:space="preserve">6. Otros </w:t>
            </w:r>
            <w:r w:rsidRPr="009B6C0B">
              <w:rPr>
                <w:rFonts w:ascii="Museo Sans 300" w:eastAsia="Times New Roman" w:hAnsi="Museo Sans 300"/>
                <w:sz w:val="16"/>
                <w:szCs w:val="22"/>
                <w:u w:val="single"/>
                <w:lang w:val="es-SV"/>
              </w:rPr>
              <w:t>3</w:t>
            </w: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u w:val="single"/>
                <w:lang w:val="es-SV"/>
              </w:rPr>
              <w:t>/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3FDBA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0.7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98F14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1.1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2C92E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1.1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CDE87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1.3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19B57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1.5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11839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1.6</w:t>
            </w:r>
          </w:p>
        </w:tc>
      </w:tr>
      <w:tr w:rsidR="009B6C0B" w:rsidRPr="009B6C0B" w14:paraId="29792865" w14:textId="77777777" w:rsidTr="009B6C0B">
        <w:trPr>
          <w:trHeight w:val="296"/>
        </w:trPr>
        <w:tc>
          <w:tcPr>
            <w:tcW w:w="20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EC8CA7" w14:textId="77777777" w:rsidR="0058595B" w:rsidRPr="009B6C0B" w:rsidRDefault="0058595B" w:rsidP="0058595B">
            <w:pPr>
              <w:jc w:val="center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Total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DCA0DD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100.0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13E8A0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100.0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CFE74A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100.0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E8F651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100.0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3E301B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100.0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C85BDE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100.0</w:t>
            </w:r>
          </w:p>
        </w:tc>
      </w:tr>
      <w:tr w:rsidR="00F74462" w:rsidRPr="009B6C0B" w14:paraId="731D6C73" w14:textId="77777777" w:rsidTr="009B6C0B">
        <w:trPr>
          <w:trHeight w:val="296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F6EE1" w14:textId="77777777" w:rsidR="0058595B" w:rsidRPr="009B6C0B" w:rsidRDefault="0058595B" w:rsidP="0058595B">
            <w:pPr>
              <w:jc w:val="center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Como % del PIB</w:t>
            </w:r>
          </w:p>
        </w:tc>
      </w:tr>
      <w:tr w:rsidR="009B6C0B" w:rsidRPr="009B6C0B" w14:paraId="591BD58F" w14:textId="77777777" w:rsidTr="009B6C0B">
        <w:trPr>
          <w:trHeight w:val="296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D67941" w14:textId="77777777" w:rsidR="0058595B" w:rsidRPr="009B6C0B" w:rsidRDefault="0058595B" w:rsidP="0058595B">
            <w:pPr>
              <w:ind w:firstLineChars="100" w:firstLine="160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1. Impuesto al Valor Agregado (IVA)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687A9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8.3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F1817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9.6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BFEF3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9.5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08CE3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9.5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9CDC9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10.0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87275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10.4</w:t>
            </w:r>
          </w:p>
        </w:tc>
      </w:tr>
      <w:tr w:rsidR="009B6C0B" w:rsidRPr="009B6C0B" w14:paraId="5E181879" w14:textId="77777777" w:rsidTr="009B6C0B">
        <w:trPr>
          <w:trHeight w:val="296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DCADBC" w14:textId="77777777" w:rsidR="0058595B" w:rsidRPr="009B6C0B" w:rsidRDefault="0058595B" w:rsidP="0058595B">
            <w:pPr>
              <w:ind w:firstLineChars="100" w:firstLine="160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2. Impuesto sobre la Renta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1D684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7.7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F8242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7.7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50501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8.7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DC7E9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8.6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B1999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8.9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1E844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9.1</w:t>
            </w:r>
          </w:p>
        </w:tc>
      </w:tr>
      <w:tr w:rsidR="009B6C0B" w:rsidRPr="009B6C0B" w14:paraId="67134886" w14:textId="77777777" w:rsidTr="009B6C0B">
        <w:trPr>
          <w:trHeight w:val="296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6FB465" w14:textId="77777777" w:rsidR="0058595B" w:rsidRPr="009B6C0B" w:rsidRDefault="0058595B" w:rsidP="0058595B">
            <w:pPr>
              <w:ind w:firstLineChars="100" w:firstLine="160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3. Derechos Arancelarios a las Importaciones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869C0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0.7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DA32C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1.0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9A035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1.0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3E733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1.0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9501E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1.0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35867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1.0</w:t>
            </w:r>
          </w:p>
        </w:tc>
      </w:tr>
      <w:tr w:rsidR="009B6C0B" w:rsidRPr="009B6C0B" w14:paraId="6CD0E97D" w14:textId="77777777" w:rsidTr="009B6C0B">
        <w:trPr>
          <w:trHeight w:val="296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D2261A" w14:textId="77777777" w:rsidR="0058595B" w:rsidRPr="009B6C0B" w:rsidRDefault="0058595B" w:rsidP="0058595B">
            <w:pPr>
              <w:ind w:firstLineChars="100" w:firstLine="160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 xml:space="preserve">4. Impuestos Específicos al Consumo </w:t>
            </w:r>
            <w:r w:rsidRPr="009B6C0B">
              <w:rPr>
                <w:rFonts w:ascii="Museo Sans 300" w:eastAsia="Times New Roman" w:hAnsi="Museo Sans 300"/>
                <w:sz w:val="16"/>
                <w:szCs w:val="22"/>
                <w:u w:val="single"/>
                <w:lang w:val="es-SV"/>
              </w:rPr>
              <w:t>1</w:t>
            </w: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u w:val="single"/>
                <w:lang w:val="es-SV"/>
              </w:rPr>
              <w:t>/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CA317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0.7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97590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0.8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FBE61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0.7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73107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0.7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0D6AE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0.7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88270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0.7</w:t>
            </w:r>
          </w:p>
        </w:tc>
      </w:tr>
      <w:tr w:rsidR="009B6C0B" w:rsidRPr="009B6C0B" w14:paraId="108EB8B6" w14:textId="77777777" w:rsidTr="009B6C0B">
        <w:trPr>
          <w:trHeight w:val="296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A4258" w14:textId="77777777" w:rsidR="0058595B" w:rsidRPr="009B6C0B" w:rsidRDefault="0058595B" w:rsidP="0058595B">
            <w:pPr>
              <w:ind w:firstLineChars="100" w:firstLine="160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 xml:space="preserve">5. Contribuciones Especiales </w:t>
            </w:r>
            <w:r w:rsidRPr="009B6C0B">
              <w:rPr>
                <w:rFonts w:ascii="Museo Sans 300" w:eastAsia="Times New Roman" w:hAnsi="Museo Sans 300"/>
                <w:sz w:val="16"/>
                <w:szCs w:val="22"/>
                <w:u w:val="single"/>
                <w:lang w:val="es-SV"/>
              </w:rPr>
              <w:t>2/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FED08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1.0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5152F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0.8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A9EA3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0.5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4C914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0.5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2D364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0.6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475FA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0.6</w:t>
            </w:r>
          </w:p>
        </w:tc>
      </w:tr>
      <w:tr w:rsidR="009B6C0B" w:rsidRPr="009B6C0B" w14:paraId="02AD4D09" w14:textId="77777777" w:rsidTr="009B6C0B">
        <w:trPr>
          <w:trHeight w:val="296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50DD22" w14:textId="77777777" w:rsidR="0058595B" w:rsidRPr="009B6C0B" w:rsidRDefault="0058595B" w:rsidP="0058595B">
            <w:pPr>
              <w:ind w:firstLineChars="100" w:firstLine="160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 xml:space="preserve">6. Otros </w:t>
            </w:r>
            <w:r w:rsidRPr="009B6C0B">
              <w:rPr>
                <w:rFonts w:ascii="Museo Sans 300" w:eastAsia="Times New Roman" w:hAnsi="Museo Sans 300"/>
                <w:sz w:val="16"/>
                <w:szCs w:val="22"/>
                <w:u w:val="single"/>
                <w:lang w:val="es-SV"/>
              </w:rPr>
              <w:t>3</w:t>
            </w: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u w:val="single"/>
                <w:lang w:val="es-SV"/>
              </w:rPr>
              <w:t>/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031FA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0.1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A0862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0.2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052CB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0.2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5229E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0.3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DDE50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0.3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697E1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sz w:val="16"/>
                <w:szCs w:val="22"/>
                <w:lang w:val="es-SV"/>
              </w:rPr>
              <w:t>0.4</w:t>
            </w:r>
          </w:p>
        </w:tc>
      </w:tr>
      <w:tr w:rsidR="009B6C0B" w:rsidRPr="009B6C0B" w14:paraId="5E0940E4" w14:textId="77777777" w:rsidTr="009B6C0B">
        <w:trPr>
          <w:trHeight w:val="296"/>
        </w:trPr>
        <w:tc>
          <w:tcPr>
            <w:tcW w:w="204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4D7111E2" w14:textId="77777777" w:rsidR="0058595B" w:rsidRPr="009B6C0B" w:rsidRDefault="0058595B" w:rsidP="0058595B">
            <w:pPr>
              <w:jc w:val="center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Carga Tributaria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05C7ED1D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18.6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61E02C21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20.1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7009C979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20.6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42831ED8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20.5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3B430FEC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21.5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16C6A734" w14:textId="77777777" w:rsidR="0058595B" w:rsidRPr="009B6C0B" w:rsidRDefault="0058595B" w:rsidP="0058595B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22.1</w:t>
            </w:r>
          </w:p>
        </w:tc>
      </w:tr>
      <w:tr w:rsidR="00D0041A" w:rsidRPr="009B6C0B" w14:paraId="7257D4ED" w14:textId="77777777" w:rsidTr="009B6C0B">
        <w:trPr>
          <w:trHeight w:val="171"/>
        </w:trPr>
        <w:tc>
          <w:tcPr>
            <w:tcW w:w="395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0B6437" w14:textId="77777777" w:rsidR="00D0041A" w:rsidRPr="009B6C0B" w:rsidRDefault="00D0041A" w:rsidP="0058595B">
            <w:pPr>
              <w:rPr>
                <w:rFonts w:ascii="Museo Sans 300" w:eastAsia="Times New Roman" w:hAnsi="Museo Sans 300" w:cs="Arial"/>
                <w:sz w:val="16"/>
                <w:szCs w:val="16"/>
                <w:lang w:val="es-SV"/>
              </w:rPr>
            </w:pPr>
            <w:r w:rsidRPr="009B6C0B">
              <w:rPr>
                <w:rFonts w:ascii="Museo Sans 300" w:eastAsia="Times New Roman" w:hAnsi="Museo Sans 300" w:cs="Arial"/>
                <w:sz w:val="16"/>
                <w:szCs w:val="16"/>
                <w:vertAlign w:val="superscript"/>
                <w:lang w:val="es-SV"/>
              </w:rPr>
              <w:t xml:space="preserve">1/ </w:t>
            </w:r>
            <w:r w:rsidRPr="009B6C0B">
              <w:rPr>
                <w:rFonts w:ascii="Museo Sans 300" w:eastAsia="Times New Roman" w:hAnsi="Museo Sans 300" w:cs="Arial"/>
                <w:sz w:val="16"/>
                <w:szCs w:val="16"/>
                <w:lang w:val="es-SV"/>
              </w:rPr>
              <w:t>Está constituido por: Impuestos a productos alcohólicos, bebidas no alcohólicas, cervezas, cigarrillos, armas y explosivos.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04F58" w14:textId="77777777" w:rsidR="00D0041A" w:rsidRPr="009B6C0B" w:rsidRDefault="00D0041A" w:rsidP="0058595B">
            <w:pPr>
              <w:rPr>
                <w:rFonts w:ascii="Museo Sans 300" w:eastAsia="Times New Roman" w:hAnsi="Museo Sans 300" w:cs="Arial"/>
                <w:sz w:val="16"/>
                <w:szCs w:val="16"/>
                <w:lang w:val="es-SV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0DA1A" w14:textId="77777777" w:rsidR="00D0041A" w:rsidRPr="009B6C0B" w:rsidRDefault="00D0041A" w:rsidP="0058595B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</w:tr>
      <w:tr w:rsidR="00D0041A" w:rsidRPr="009B6C0B" w14:paraId="73B6D622" w14:textId="77777777" w:rsidTr="009B6C0B">
        <w:trPr>
          <w:trHeight w:val="171"/>
        </w:trPr>
        <w:tc>
          <w:tcPr>
            <w:tcW w:w="395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08EBF" w14:textId="77777777" w:rsidR="00D0041A" w:rsidRPr="009B6C0B" w:rsidRDefault="00D0041A" w:rsidP="0058595B">
            <w:pPr>
              <w:rPr>
                <w:rFonts w:ascii="Museo Sans 300" w:eastAsia="Times New Roman" w:hAnsi="Museo Sans 300" w:cs="Arial"/>
                <w:sz w:val="16"/>
                <w:szCs w:val="16"/>
                <w:lang w:val="es-SV"/>
              </w:rPr>
            </w:pPr>
            <w:r w:rsidRPr="009B6C0B">
              <w:rPr>
                <w:rFonts w:ascii="Museo Sans 300" w:eastAsia="Times New Roman" w:hAnsi="Museo Sans 300" w:cs="Arial"/>
                <w:sz w:val="16"/>
                <w:szCs w:val="16"/>
                <w:vertAlign w:val="superscript"/>
                <w:lang w:val="es-SV"/>
              </w:rPr>
              <w:t xml:space="preserve">2/ </w:t>
            </w:r>
            <w:r w:rsidRPr="009B6C0B">
              <w:rPr>
                <w:rFonts w:ascii="Museo Sans 300" w:eastAsia="Times New Roman" w:hAnsi="Museo Sans 300" w:cs="Arial"/>
                <w:sz w:val="16"/>
                <w:szCs w:val="16"/>
                <w:lang w:val="es-SV"/>
              </w:rPr>
              <w:t xml:space="preserve">Está constituido por: FOVIAL, </w:t>
            </w:r>
            <w:proofErr w:type="spellStart"/>
            <w:r w:rsidRPr="009B6C0B">
              <w:rPr>
                <w:rFonts w:ascii="Museo Sans 300" w:eastAsia="Times New Roman" w:hAnsi="Museo Sans 300" w:cs="Arial"/>
                <w:sz w:val="16"/>
                <w:szCs w:val="16"/>
                <w:lang w:val="es-SV"/>
              </w:rPr>
              <w:t>Contrib</w:t>
            </w:r>
            <w:proofErr w:type="spellEnd"/>
            <w:r w:rsidRPr="009B6C0B">
              <w:rPr>
                <w:rFonts w:ascii="Museo Sans 300" w:eastAsia="Times New Roman" w:hAnsi="Museo Sans 300" w:cs="Arial"/>
                <w:sz w:val="16"/>
                <w:szCs w:val="16"/>
                <w:lang w:val="es-SV"/>
              </w:rPr>
              <w:t xml:space="preserve">. al transporte público, </w:t>
            </w:r>
            <w:proofErr w:type="spellStart"/>
            <w:r w:rsidRPr="009B6C0B">
              <w:rPr>
                <w:rFonts w:ascii="Museo Sans 300" w:eastAsia="Times New Roman" w:hAnsi="Museo Sans 300" w:cs="Arial"/>
                <w:sz w:val="16"/>
                <w:szCs w:val="16"/>
                <w:lang w:val="es-SV"/>
              </w:rPr>
              <w:t>contrib</w:t>
            </w:r>
            <w:proofErr w:type="spellEnd"/>
            <w:r w:rsidRPr="009B6C0B">
              <w:rPr>
                <w:rFonts w:ascii="Museo Sans 300" w:eastAsia="Times New Roman" w:hAnsi="Museo Sans 300" w:cs="Arial"/>
                <w:sz w:val="16"/>
                <w:szCs w:val="16"/>
                <w:lang w:val="es-SV"/>
              </w:rPr>
              <w:t xml:space="preserve">. </w:t>
            </w:r>
            <w:proofErr w:type="gramStart"/>
            <w:r w:rsidRPr="009B6C0B">
              <w:rPr>
                <w:rFonts w:ascii="Museo Sans 300" w:eastAsia="Times New Roman" w:hAnsi="Museo Sans 300" w:cs="Arial"/>
                <w:sz w:val="16"/>
                <w:szCs w:val="16"/>
                <w:lang w:val="es-SV"/>
              </w:rPr>
              <w:t>turismo ,</w:t>
            </w:r>
            <w:proofErr w:type="gramEnd"/>
            <w:r w:rsidRPr="009B6C0B">
              <w:rPr>
                <w:rFonts w:ascii="Museo Sans 300" w:eastAsia="Times New Roman" w:hAnsi="Museo Sans 300" w:cs="Arial"/>
                <w:sz w:val="16"/>
                <w:szCs w:val="16"/>
                <w:lang w:val="es-SV"/>
              </w:rPr>
              <w:t xml:space="preserve"> azúcar extraída y CESC.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0F898" w14:textId="77777777" w:rsidR="00D0041A" w:rsidRPr="009B6C0B" w:rsidRDefault="00D0041A" w:rsidP="0058595B">
            <w:pPr>
              <w:rPr>
                <w:rFonts w:ascii="Museo Sans 300" w:eastAsia="Times New Roman" w:hAnsi="Museo Sans 300" w:cs="Arial"/>
                <w:sz w:val="16"/>
                <w:szCs w:val="16"/>
                <w:lang w:val="es-SV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DDCCC" w14:textId="77777777" w:rsidR="00D0041A" w:rsidRPr="009B6C0B" w:rsidRDefault="00D0041A" w:rsidP="0058595B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</w:tr>
      <w:tr w:rsidR="00D0041A" w:rsidRPr="009B6C0B" w14:paraId="354281BA" w14:textId="77777777" w:rsidTr="009B6C0B">
        <w:trPr>
          <w:trHeight w:val="171"/>
        </w:trPr>
        <w:tc>
          <w:tcPr>
            <w:tcW w:w="347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41BE47" w14:textId="77777777" w:rsidR="00D0041A" w:rsidRPr="009B6C0B" w:rsidRDefault="00D0041A" w:rsidP="0058595B">
            <w:pPr>
              <w:rPr>
                <w:rFonts w:ascii="Museo Sans 300" w:eastAsia="Times New Roman" w:hAnsi="Museo Sans 300" w:cs="Arial"/>
                <w:sz w:val="16"/>
                <w:szCs w:val="16"/>
                <w:lang w:val="es-SV"/>
              </w:rPr>
            </w:pPr>
            <w:r w:rsidRPr="009B6C0B">
              <w:rPr>
                <w:rFonts w:ascii="Museo Sans 300" w:eastAsia="Times New Roman" w:hAnsi="Museo Sans 300" w:cs="Arial"/>
                <w:sz w:val="16"/>
                <w:szCs w:val="16"/>
                <w:vertAlign w:val="superscript"/>
                <w:lang w:val="es-SV"/>
              </w:rPr>
              <w:t>3/</w:t>
            </w:r>
            <w:r w:rsidRPr="009B6C0B">
              <w:rPr>
                <w:rFonts w:ascii="Museo Sans 300" w:eastAsia="Times New Roman" w:hAnsi="Museo Sans 300" w:cs="Arial"/>
                <w:sz w:val="16"/>
                <w:szCs w:val="16"/>
                <w:lang w:val="es-SV"/>
              </w:rPr>
              <w:t xml:space="preserve"> Incluye: Llamadas telefónicas, Transferencias de Propiedades, Migración y primera matrícula 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D813D" w14:textId="77777777" w:rsidR="00D0041A" w:rsidRPr="009B6C0B" w:rsidRDefault="00D0041A" w:rsidP="0058595B">
            <w:pPr>
              <w:rPr>
                <w:rFonts w:ascii="Museo Sans 300" w:eastAsia="Times New Roman" w:hAnsi="Museo Sans 300" w:cs="Arial"/>
                <w:sz w:val="16"/>
                <w:szCs w:val="16"/>
                <w:lang w:val="es-SV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3B3A9" w14:textId="77777777" w:rsidR="00D0041A" w:rsidRPr="009B6C0B" w:rsidRDefault="00D0041A" w:rsidP="0058595B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04491" w14:textId="77777777" w:rsidR="00D0041A" w:rsidRPr="009B6C0B" w:rsidRDefault="00D0041A" w:rsidP="0058595B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</w:tr>
    </w:tbl>
    <w:p w14:paraId="5389D5C5" w14:textId="77777777" w:rsidR="00D0041A" w:rsidRPr="009B6C0B" w:rsidRDefault="00D0041A" w:rsidP="00D0041A">
      <w:pPr>
        <w:pStyle w:val="Sinespaciado"/>
        <w:rPr>
          <w:rFonts w:ascii="Museo Sans 300" w:hAnsi="Museo Sans 300"/>
        </w:rPr>
      </w:pPr>
    </w:p>
    <w:p w14:paraId="5E2A5B29" w14:textId="52DF1733" w:rsidR="00A747DD" w:rsidRPr="009B6C0B" w:rsidRDefault="00255E85">
      <w:pPr>
        <w:pStyle w:val="Ttulo3"/>
        <w:spacing w:line="480" w:lineRule="auto"/>
        <w:rPr>
          <w:rFonts w:ascii="Museo Sans 300" w:eastAsia="Museo Sans 300" w:hAnsi="Museo Sans 300" w:cs="Museo Sans 300"/>
        </w:rPr>
      </w:pPr>
      <w:bookmarkStart w:id="12" w:name="_Toc243319587"/>
      <w:r w:rsidRPr="009B6C0B">
        <w:rPr>
          <w:rFonts w:ascii="Museo Sans 300" w:eastAsia="Museo Sans 300" w:hAnsi="Museo Sans 300" w:cs="Museo Sans 300"/>
        </w:rPr>
        <w:t>1.2 R</w:t>
      </w:r>
      <w:hyperlink w:anchor="_boybzezaq65g">
        <w:r w:rsidRPr="009B6C0B">
          <w:rPr>
            <w:rFonts w:ascii="Museo Sans 300" w:eastAsia="Museo Sans 300" w:hAnsi="Museo Sans 300" w:cs="Museo Sans 300"/>
          </w:rPr>
          <w:t>ecaudación por Cartera, Sector Económico y</w:t>
        </w:r>
      </w:hyperlink>
      <w:r w:rsidRPr="009B6C0B">
        <w:rPr>
          <w:rFonts w:ascii="Museo Sans 300" w:eastAsia="Museo Sans 300" w:hAnsi="Museo Sans 300" w:cs="Museo Sans 300"/>
        </w:rPr>
        <w:t xml:space="preserve"> por D</w:t>
      </w:r>
      <w:hyperlink w:anchor="_boybzezaq65g">
        <w:r w:rsidRPr="009B6C0B">
          <w:rPr>
            <w:rFonts w:ascii="Museo Sans 300" w:eastAsia="Museo Sans 300" w:hAnsi="Museo Sans 300" w:cs="Museo Sans 300"/>
          </w:rPr>
          <w:t>epartamento</w:t>
        </w:r>
        <w:bookmarkEnd w:id="12"/>
      </w:hyperlink>
    </w:p>
    <w:p w14:paraId="19F82856" w14:textId="77777777" w:rsidR="00A747DD" w:rsidRPr="009B6C0B" w:rsidRDefault="00255E85">
      <w:pPr>
        <w:rPr>
          <w:rFonts w:ascii="Museo Sans 300" w:eastAsia="Museo Sans 300" w:hAnsi="Museo Sans 300" w:cs="Museo Sans 300"/>
          <w:b/>
          <w:bCs/>
          <w:sz w:val="22"/>
          <w:szCs w:val="22"/>
        </w:rPr>
      </w:pPr>
      <w:bookmarkStart w:id="13" w:name="_z2eo78us3cc3" w:colFirst="0" w:colLast="0"/>
      <w:bookmarkEnd w:id="13"/>
      <w:r w:rsidRPr="009B6C0B">
        <w:rPr>
          <w:rFonts w:ascii="Museo Sans 300" w:eastAsia="Museo Sans 300" w:hAnsi="Museo Sans 300" w:cs="Museo Sans 300"/>
          <w:b/>
          <w:bCs/>
          <w:sz w:val="22"/>
          <w:szCs w:val="22"/>
        </w:rPr>
        <w:t>Recaudación según Cartera de Contribuyentes</w:t>
      </w:r>
    </w:p>
    <w:p w14:paraId="6030290E" w14:textId="77777777" w:rsidR="00A747DD" w:rsidRPr="009B6C0B" w:rsidRDefault="00A747DD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Museo Sans 300" w:eastAsia="Museo Sans 300" w:hAnsi="Museo Sans 300" w:cs="Museo Sans 300"/>
          <w:color w:val="000000"/>
          <w:sz w:val="22"/>
          <w:szCs w:val="22"/>
        </w:rPr>
      </w:pPr>
    </w:p>
    <w:p w14:paraId="32A3F8AB" w14:textId="77777777" w:rsidR="00A747DD" w:rsidRPr="009B6C0B" w:rsidRDefault="00255E85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De acuerdo con datos preliminares de la </w:t>
      </w:r>
      <w:r w:rsidRPr="009B6C0B">
        <w:rPr>
          <w:rFonts w:ascii="Museo Sans 300" w:eastAsia="Museo Sans 300" w:hAnsi="Museo Sans 300" w:cs="Museo Sans 300"/>
          <w:b/>
          <w:bCs/>
          <w:sz w:val="22"/>
          <w:szCs w:val="22"/>
        </w:rPr>
        <w:t>Dirección General de Impuestos Internos (DGII),</w:t>
      </w:r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 la recaudación tributaria</w:t>
      </w:r>
      <w:r w:rsidRPr="009B6C0B">
        <w:rPr>
          <w:rFonts w:ascii="Museo Sans 300" w:eastAsia="Museo Sans 300" w:hAnsi="Museo Sans 300" w:cs="Museo Sans 300"/>
          <w:b/>
          <w:bCs/>
          <w:sz w:val="22"/>
          <w:szCs w:val="22"/>
        </w:rPr>
        <w:t xml:space="preserve"> por Cartera de Contribuyentes,</w:t>
      </w:r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 muestra que los Grandes Contribuyentes durante el período enero-diciembre 2025 aportaron un total de US$4,486.6 millones con un crecimiento de 3.8% respecto al período año anterior; los medianos Contribuyentes reportaron US$1,377.3 millones, registrando una variación anual de 4.3% y los Pequeños Contribuyentes aportaron al fisco un monto de US$2,122.1 millones, con un incremento de 23.1% de variación anual. </w:t>
      </w:r>
    </w:p>
    <w:p w14:paraId="57879841" w14:textId="77777777" w:rsidR="00F74462" w:rsidRPr="009B6C0B" w:rsidRDefault="00F74462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tbl>
      <w:tblPr>
        <w:tblW w:w="501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2"/>
        <w:gridCol w:w="2073"/>
        <w:gridCol w:w="2073"/>
        <w:gridCol w:w="2010"/>
        <w:gridCol w:w="928"/>
      </w:tblGrid>
      <w:tr w:rsidR="00F74462" w:rsidRPr="009B6C0B" w14:paraId="09AD83D7" w14:textId="77777777" w:rsidTr="009B6C0B">
        <w:trPr>
          <w:trHeight w:val="273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8D12E" w14:textId="77777777" w:rsidR="00F74462" w:rsidRPr="009B6C0B" w:rsidRDefault="00F74462" w:rsidP="009B6C0B">
            <w:pPr>
              <w:rPr>
                <w:rFonts w:ascii="Museo Sans 300" w:eastAsia="Times New Roman" w:hAnsi="Museo Sans 300"/>
                <w:bCs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Cs/>
                <w:szCs w:val="22"/>
                <w:lang w:val="es-SV"/>
              </w:rPr>
              <w:lastRenderedPageBreak/>
              <w:t>Tabla No. 2 Recaudación de Ingresos Tributarios según Cartera de Contribuyentes</w:t>
            </w:r>
          </w:p>
        </w:tc>
      </w:tr>
      <w:tr w:rsidR="00F74462" w:rsidRPr="009B6C0B" w14:paraId="18431D88" w14:textId="77777777" w:rsidTr="009B6C0B">
        <w:trPr>
          <w:trHeight w:val="273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7966F" w14:textId="77777777" w:rsidR="00F74462" w:rsidRPr="009B6C0B" w:rsidRDefault="00F74462" w:rsidP="009B6C0B">
            <w:pPr>
              <w:rPr>
                <w:rFonts w:ascii="Museo Sans 300" w:eastAsia="Times New Roman" w:hAnsi="Museo Sans 300"/>
                <w:bCs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Cs/>
                <w:szCs w:val="22"/>
                <w:lang w:val="es-SV"/>
              </w:rPr>
              <w:t>En Millones de US$</w:t>
            </w:r>
          </w:p>
        </w:tc>
      </w:tr>
      <w:tr w:rsidR="00F74462" w:rsidRPr="009B6C0B" w14:paraId="53B3DF40" w14:textId="77777777" w:rsidTr="009B6C0B">
        <w:trPr>
          <w:trHeight w:val="273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0B1E3" w14:textId="77777777" w:rsidR="00F74462" w:rsidRPr="009B6C0B" w:rsidRDefault="00F74462" w:rsidP="00F74462">
            <w:pPr>
              <w:jc w:val="center"/>
              <w:rPr>
                <w:rFonts w:ascii="Museo Sans 300" w:eastAsia="Times New Roman" w:hAnsi="Museo Sans 300"/>
                <w:b/>
                <w:bCs/>
                <w:szCs w:val="22"/>
                <w:lang w:val="es-SV"/>
              </w:rPr>
            </w:pP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5363F" w14:textId="77777777" w:rsidR="00F74462" w:rsidRPr="009B6C0B" w:rsidRDefault="00F74462" w:rsidP="00F74462">
            <w:pPr>
              <w:rPr>
                <w:rFonts w:ascii="Museo Sans 300" w:eastAsia="Times New Roman" w:hAnsi="Museo Sans 300" w:cs="Times New Roman"/>
                <w:lang w:val="es-SV"/>
              </w:rPr>
            </w:pP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ECE20" w14:textId="77777777" w:rsidR="00F74462" w:rsidRPr="009B6C0B" w:rsidRDefault="00F74462" w:rsidP="00F74462">
            <w:pPr>
              <w:rPr>
                <w:rFonts w:ascii="Museo Sans 300" w:eastAsia="Times New Roman" w:hAnsi="Museo Sans 300" w:cs="Times New Roman"/>
                <w:lang w:val="es-SV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68727" w14:textId="77777777" w:rsidR="00F74462" w:rsidRPr="009B6C0B" w:rsidRDefault="00F74462" w:rsidP="00F74462">
            <w:pPr>
              <w:rPr>
                <w:rFonts w:ascii="Museo Sans 300" w:eastAsia="Times New Roman" w:hAnsi="Museo Sans 300" w:cs="Times New Roman"/>
                <w:lang w:val="es-SV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BC1BB" w14:textId="77777777" w:rsidR="00F74462" w:rsidRPr="009B6C0B" w:rsidRDefault="00F74462" w:rsidP="00F74462">
            <w:pPr>
              <w:rPr>
                <w:rFonts w:ascii="Museo Sans 300" w:eastAsia="Times New Roman" w:hAnsi="Museo Sans 300" w:cs="Times New Roman"/>
                <w:lang w:val="es-SV"/>
              </w:rPr>
            </w:pPr>
          </w:p>
        </w:tc>
      </w:tr>
      <w:tr w:rsidR="00F74462" w:rsidRPr="009B6C0B" w14:paraId="42B5DABA" w14:textId="77777777" w:rsidTr="009B6C0B">
        <w:trPr>
          <w:trHeight w:val="273"/>
        </w:trPr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887C8F" w14:textId="77777777" w:rsidR="00F74462" w:rsidRPr="009B6C0B" w:rsidRDefault="00F74462" w:rsidP="00F74462">
            <w:pPr>
              <w:rPr>
                <w:rFonts w:ascii="Museo Sans 300" w:eastAsia="Times New Roman" w:hAnsi="Museo Sans 300"/>
                <w:b/>
                <w:bCs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Cs w:val="22"/>
                <w:lang w:val="es-SV"/>
              </w:rPr>
              <w:t>CARTERA</w:t>
            </w:r>
          </w:p>
        </w:tc>
        <w:tc>
          <w:tcPr>
            <w:tcW w:w="11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F396A" w14:textId="77777777" w:rsidR="00F74462" w:rsidRPr="009B6C0B" w:rsidRDefault="00F74462" w:rsidP="00F74462">
            <w:pPr>
              <w:jc w:val="center"/>
              <w:rPr>
                <w:rFonts w:ascii="Museo Sans 300" w:eastAsia="Times New Roman" w:hAnsi="Museo Sans 300"/>
                <w:b/>
                <w:bCs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Cs w:val="22"/>
                <w:lang w:val="es-SV"/>
              </w:rPr>
              <w:t>Ene-</w:t>
            </w:r>
            <w:proofErr w:type="gramStart"/>
            <w:r w:rsidRPr="009B6C0B">
              <w:rPr>
                <w:rFonts w:ascii="Museo Sans 300" w:eastAsia="Times New Roman" w:hAnsi="Museo Sans 300"/>
                <w:b/>
                <w:bCs/>
                <w:szCs w:val="22"/>
                <w:lang w:val="es-SV"/>
              </w:rPr>
              <w:t>Dic.</w:t>
            </w:r>
            <w:proofErr w:type="gramEnd"/>
            <w:r w:rsidRPr="009B6C0B">
              <w:rPr>
                <w:rFonts w:ascii="Museo Sans 300" w:eastAsia="Times New Roman" w:hAnsi="Museo Sans 300"/>
                <w:b/>
                <w:bCs/>
                <w:szCs w:val="22"/>
                <w:lang w:val="es-SV"/>
              </w:rPr>
              <w:t xml:space="preserve"> 2024</w:t>
            </w:r>
          </w:p>
        </w:tc>
        <w:tc>
          <w:tcPr>
            <w:tcW w:w="11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EA6B94" w14:textId="77777777" w:rsidR="00F74462" w:rsidRPr="009B6C0B" w:rsidRDefault="00F74462" w:rsidP="00F74462">
            <w:pPr>
              <w:jc w:val="center"/>
              <w:rPr>
                <w:rFonts w:ascii="Museo Sans 300" w:eastAsia="Times New Roman" w:hAnsi="Museo Sans 300"/>
                <w:b/>
                <w:bCs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Cs w:val="22"/>
                <w:lang w:val="es-SV"/>
              </w:rPr>
              <w:t>Ene-</w:t>
            </w:r>
            <w:proofErr w:type="gramStart"/>
            <w:r w:rsidRPr="009B6C0B">
              <w:rPr>
                <w:rFonts w:ascii="Museo Sans 300" w:eastAsia="Times New Roman" w:hAnsi="Museo Sans 300"/>
                <w:b/>
                <w:bCs/>
                <w:szCs w:val="22"/>
                <w:lang w:val="es-SV"/>
              </w:rPr>
              <w:t>Dic.</w:t>
            </w:r>
            <w:proofErr w:type="gramEnd"/>
            <w:r w:rsidRPr="009B6C0B">
              <w:rPr>
                <w:rFonts w:ascii="Museo Sans 300" w:eastAsia="Times New Roman" w:hAnsi="Museo Sans 300"/>
                <w:b/>
                <w:bCs/>
                <w:szCs w:val="22"/>
                <w:lang w:val="es-SV"/>
              </w:rPr>
              <w:t xml:space="preserve"> 2025</w:t>
            </w:r>
          </w:p>
        </w:tc>
        <w:tc>
          <w:tcPr>
            <w:tcW w:w="11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2DDEF6" w14:textId="77777777" w:rsidR="00F74462" w:rsidRPr="009B6C0B" w:rsidRDefault="00F74462" w:rsidP="00F74462">
            <w:pPr>
              <w:jc w:val="center"/>
              <w:rPr>
                <w:rFonts w:ascii="Museo Sans 300" w:eastAsia="Times New Roman" w:hAnsi="Museo Sans 300"/>
                <w:b/>
                <w:bCs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Cs w:val="22"/>
                <w:lang w:val="es-SV"/>
              </w:rPr>
              <w:t>Var. Nominal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CF672C" w14:textId="77777777" w:rsidR="00F74462" w:rsidRPr="009B6C0B" w:rsidRDefault="00F74462" w:rsidP="00F74462">
            <w:pPr>
              <w:jc w:val="center"/>
              <w:rPr>
                <w:rFonts w:ascii="Museo Sans 300" w:eastAsia="Times New Roman" w:hAnsi="Museo Sans 300"/>
                <w:b/>
                <w:bCs/>
                <w:szCs w:val="22"/>
                <w:lang w:val="es-SV"/>
              </w:rPr>
            </w:pPr>
            <w:proofErr w:type="gramStart"/>
            <w:r w:rsidRPr="009B6C0B">
              <w:rPr>
                <w:rFonts w:ascii="Museo Sans 300" w:eastAsia="Times New Roman" w:hAnsi="Museo Sans 300"/>
                <w:b/>
                <w:bCs/>
                <w:szCs w:val="22"/>
                <w:lang w:val="es-SV"/>
              </w:rPr>
              <w:t>Var.%</w:t>
            </w:r>
            <w:proofErr w:type="gramEnd"/>
          </w:p>
        </w:tc>
      </w:tr>
      <w:tr w:rsidR="00F74462" w:rsidRPr="009B6C0B" w14:paraId="5A5B0486" w14:textId="77777777" w:rsidTr="009B6C0B">
        <w:trPr>
          <w:trHeight w:val="273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4DFF2" w14:textId="77777777" w:rsidR="00F74462" w:rsidRPr="009B6C0B" w:rsidRDefault="00F74462" w:rsidP="00F74462">
            <w:pPr>
              <w:rPr>
                <w:rFonts w:ascii="Museo Sans 300" w:eastAsia="Times New Roman" w:hAnsi="Museo Sans 300"/>
                <w:b/>
                <w:bCs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Cs w:val="22"/>
                <w:lang w:val="es-SV"/>
              </w:rPr>
              <w:t>TOTAL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0209A" w14:textId="77777777" w:rsidR="00F74462" w:rsidRPr="009B6C0B" w:rsidRDefault="00F74462" w:rsidP="00F74462">
            <w:pPr>
              <w:jc w:val="right"/>
              <w:rPr>
                <w:rFonts w:ascii="Museo Sans 300" w:eastAsia="Times New Roman" w:hAnsi="Museo Sans 300"/>
                <w:b/>
                <w:bCs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Cs w:val="22"/>
                <w:lang w:val="es-SV"/>
              </w:rPr>
              <w:t>7,369.1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F9E0B" w14:textId="77777777" w:rsidR="00F74462" w:rsidRPr="009B6C0B" w:rsidRDefault="00F74462" w:rsidP="00F74462">
            <w:pPr>
              <w:jc w:val="right"/>
              <w:rPr>
                <w:rFonts w:ascii="Museo Sans 300" w:eastAsia="Times New Roman" w:hAnsi="Museo Sans 300"/>
                <w:b/>
                <w:bCs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Cs w:val="22"/>
                <w:lang w:val="es-SV"/>
              </w:rPr>
              <w:t>7,986.0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EEDA0" w14:textId="77777777" w:rsidR="00F74462" w:rsidRPr="009B6C0B" w:rsidRDefault="00F74462" w:rsidP="00F74462">
            <w:pPr>
              <w:jc w:val="right"/>
              <w:rPr>
                <w:rFonts w:ascii="Museo Sans 300" w:eastAsia="Times New Roman" w:hAnsi="Museo Sans 300"/>
                <w:b/>
                <w:bCs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Cs w:val="22"/>
                <w:lang w:val="es-SV"/>
              </w:rPr>
              <w:t>616.9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F06F6" w14:textId="77777777" w:rsidR="00F74462" w:rsidRPr="009B6C0B" w:rsidRDefault="00F74462" w:rsidP="00F74462">
            <w:pPr>
              <w:jc w:val="right"/>
              <w:rPr>
                <w:rFonts w:ascii="Museo Sans 300" w:eastAsia="Times New Roman" w:hAnsi="Museo Sans 300"/>
                <w:b/>
                <w:bCs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b/>
                <w:bCs/>
                <w:szCs w:val="22"/>
                <w:lang w:val="es-SV"/>
              </w:rPr>
              <w:t>8.4</w:t>
            </w:r>
          </w:p>
        </w:tc>
      </w:tr>
      <w:tr w:rsidR="00F74462" w:rsidRPr="009B6C0B" w14:paraId="5805E7C8" w14:textId="77777777" w:rsidTr="009B6C0B">
        <w:trPr>
          <w:trHeight w:val="273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97DF1" w14:textId="77777777" w:rsidR="00F74462" w:rsidRPr="009B6C0B" w:rsidRDefault="00F74462" w:rsidP="00F74462">
            <w:pPr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  <w:t>GRANDES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16AA7" w14:textId="77777777" w:rsidR="00F74462" w:rsidRPr="009B6C0B" w:rsidRDefault="00F74462" w:rsidP="00F74462">
            <w:pPr>
              <w:jc w:val="right"/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  <w:t>4,323.4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57C48" w14:textId="77777777" w:rsidR="00F74462" w:rsidRPr="009B6C0B" w:rsidRDefault="00F74462" w:rsidP="00F74462">
            <w:pPr>
              <w:jc w:val="right"/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  <w:t>4,486.6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DBA7D" w14:textId="77777777" w:rsidR="00F74462" w:rsidRPr="009B6C0B" w:rsidRDefault="00F74462" w:rsidP="00F74462">
            <w:pPr>
              <w:jc w:val="right"/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  <w:t>163.2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80934" w14:textId="77777777" w:rsidR="00F74462" w:rsidRPr="009B6C0B" w:rsidRDefault="00F74462" w:rsidP="00F74462">
            <w:pPr>
              <w:jc w:val="right"/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  <w:t>3.8</w:t>
            </w:r>
          </w:p>
        </w:tc>
      </w:tr>
      <w:tr w:rsidR="00F74462" w:rsidRPr="009B6C0B" w14:paraId="07A697B3" w14:textId="77777777" w:rsidTr="009B6C0B">
        <w:trPr>
          <w:trHeight w:val="273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9BFF7" w14:textId="3BB126F9" w:rsidR="00F74462" w:rsidRPr="009B6C0B" w:rsidRDefault="00F74462" w:rsidP="00F74462">
            <w:pPr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  <w:t>MEDIANOS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65E8B" w14:textId="77777777" w:rsidR="00F74462" w:rsidRPr="009B6C0B" w:rsidRDefault="00F74462" w:rsidP="00F74462">
            <w:pPr>
              <w:jc w:val="right"/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  <w:t>1,321.1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5BF0E" w14:textId="77777777" w:rsidR="00F74462" w:rsidRPr="009B6C0B" w:rsidRDefault="00F74462" w:rsidP="00F74462">
            <w:pPr>
              <w:jc w:val="right"/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  <w:t>1,377.3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F5DA4" w14:textId="77777777" w:rsidR="00F74462" w:rsidRPr="009B6C0B" w:rsidRDefault="00F74462" w:rsidP="00F74462">
            <w:pPr>
              <w:jc w:val="right"/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  <w:t>56.2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84974" w14:textId="77777777" w:rsidR="00F74462" w:rsidRPr="009B6C0B" w:rsidRDefault="00F74462" w:rsidP="00F74462">
            <w:pPr>
              <w:jc w:val="right"/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  <w:t>4.3</w:t>
            </w:r>
          </w:p>
        </w:tc>
      </w:tr>
      <w:tr w:rsidR="00F74462" w:rsidRPr="009B6C0B" w14:paraId="32EE856A" w14:textId="77777777" w:rsidTr="009B6C0B">
        <w:trPr>
          <w:trHeight w:val="273"/>
        </w:trPr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16561E" w14:textId="77777777" w:rsidR="00F74462" w:rsidRPr="009B6C0B" w:rsidRDefault="00F74462" w:rsidP="00F74462">
            <w:pPr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  <w:t>OTROS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F27730" w14:textId="77777777" w:rsidR="00F74462" w:rsidRPr="009B6C0B" w:rsidRDefault="00F74462" w:rsidP="00F74462">
            <w:pPr>
              <w:jc w:val="right"/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  <w:t>1,724.3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D378C6" w14:textId="77777777" w:rsidR="00F74462" w:rsidRPr="009B6C0B" w:rsidRDefault="00F74462" w:rsidP="00F74462">
            <w:pPr>
              <w:jc w:val="right"/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  <w:t>2,122.1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CD4C5F" w14:textId="77777777" w:rsidR="00F74462" w:rsidRPr="009B6C0B" w:rsidRDefault="00F74462" w:rsidP="00F74462">
            <w:pPr>
              <w:jc w:val="right"/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  <w:t>397.8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F7CFDF" w14:textId="77777777" w:rsidR="00F74462" w:rsidRPr="009B6C0B" w:rsidRDefault="00F74462" w:rsidP="00F74462">
            <w:pPr>
              <w:jc w:val="right"/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  <w:t>23.1</w:t>
            </w:r>
          </w:p>
        </w:tc>
      </w:tr>
      <w:tr w:rsidR="00F74462" w:rsidRPr="009B6C0B" w14:paraId="686BB87D" w14:textId="77777777" w:rsidTr="009B6C0B">
        <w:trPr>
          <w:trHeight w:val="273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10077" w14:textId="77777777" w:rsidR="00F74462" w:rsidRPr="009B6C0B" w:rsidRDefault="00F74462" w:rsidP="00F74462">
            <w:pPr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  <w:t>Fuente: DGII</w:t>
            </w: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B7740" w14:textId="77777777" w:rsidR="00F74462" w:rsidRPr="009B6C0B" w:rsidRDefault="00F74462" w:rsidP="00F74462">
            <w:pPr>
              <w:rPr>
                <w:rFonts w:ascii="Museo Sans 300" w:eastAsia="Times New Roman" w:hAnsi="Museo Sans 300"/>
                <w:color w:val="000000"/>
                <w:szCs w:val="22"/>
                <w:lang w:val="es-SV"/>
              </w:rPr>
            </w:pPr>
          </w:p>
        </w:tc>
        <w:tc>
          <w:tcPr>
            <w:tcW w:w="1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A978E" w14:textId="77777777" w:rsidR="00F74462" w:rsidRPr="009B6C0B" w:rsidRDefault="00F74462" w:rsidP="00F74462">
            <w:pPr>
              <w:rPr>
                <w:rFonts w:ascii="Museo Sans 300" w:eastAsia="Times New Roman" w:hAnsi="Museo Sans 300" w:cs="Times New Roman"/>
                <w:lang w:val="es-SV"/>
              </w:rPr>
            </w:pP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52377" w14:textId="77777777" w:rsidR="00F74462" w:rsidRPr="009B6C0B" w:rsidRDefault="00F74462" w:rsidP="00F74462">
            <w:pPr>
              <w:rPr>
                <w:rFonts w:ascii="Museo Sans 300" w:eastAsia="Times New Roman" w:hAnsi="Museo Sans 300" w:cs="Times New Roman"/>
                <w:lang w:val="es-SV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E4FE5" w14:textId="77777777" w:rsidR="00F74462" w:rsidRPr="009B6C0B" w:rsidRDefault="00F74462" w:rsidP="00F74462">
            <w:pPr>
              <w:rPr>
                <w:rFonts w:ascii="Museo Sans 300" w:eastAsia="Times New Roman" w:hAnsi="Museo Sans 300" w:cs="Times New Roman"/>
                <w:lang w:val="es-SV"/>
              </w:rPr>
            </w:pPr>
          </w:p>
        </w:tc>
      </w:tr>
    </w:tbl>
    <w:p w14:paraId="07918B60" w14:textId="77777777" w:rsidR="00F74462" w:rsidRPr="009B6C0B" w:rsidRDefault="00F74462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759C8DEE" w14:textId="77777777" w:rsidR="00A747DD" w:rsidRPr="009B6C0B" w:rsidRDefault="00255E85">
      <w:pPr>
        <w:rPr>
          <w:rFonts w:ascii="Museo Sans 300" w:eastAsia="Museo Sans 300" w:hAnsi="Museo Sans 300" w:cs="Museo Sans 300"/>
          <w:b/>
          <w:bCs/>
          <w:sz w:val="22"/>
          <w:szCs w:val="22"/>
        </w:rPr>
      </w:pPr>
      <w:bookmarkStart w:id="14" w:name="_ca10302i4lae" w:colFirst="0" w:colLast="0"/>
      <w:bookmarkStart w:id="15" w:name="_k13u4hvi0p6h" w:colFirst="0" w:colLast="0"/>
      <w:bookmarkEnd w:id="14"/>
      <w:bookmarkEnd w:id="15"/>
      <w:r w:rsidRPr="009B6C0B">
        <w:rPr>
          <w:rFonts w:ascii="Museo Sans 300" w:eastAsia="Museo Sans 300" w:hAnsi="Museo Sans 300" w:cs="Museo Sans 300"/>
          <w:b/>
          <w:bCs/>
          <w:sz w:val="22"/>
          <w:szCs w:val="22"/>
        </w:rPr>
        <w:t>Recaudación según Departamentos</w:t>
      </w:r>
    </w:p>
    <w:p w14:paraId="11FDDC2C" w14:textId="77777777" w:rsidR="00A747DD" w:rsidRPr="009B6C0B" w:rsidRDefault="00A747DD">
      <w:pPr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52F44F70" w14:textId="77777777" w:rsidR="00A747DD" w:rsidRPr="009B6C0B" w:rsidRDefault="00255E85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>Así mismo, al realizar el análisis de la recaudación del mes de diciembre 2025 por Departamentos, se observa que el 88.7% de los Ingresos Tributarios provienen de los contribuyentes ubicados en los departamentos de San Salvador y La Libertad, con una participación del 57.9% y 30.8% respectivamente, además, San Salvador reporta el mayor incremento nominal, acumulando $317.2 millones, equivalente a  una variación anual del 7.4%, de igual manera La Libertad reportó $183.9 millones de dólares adicionales, equivalente a un crecimiento de 8.1% con respecto al año anterior.</w:t>
      </w:r>
    </w:p>
    <w:p w14:paraId="01985229" w14:textId="77777777" w:rsidR="00A747DD" w:rsidRPr="009B6C0B" w:rsidRDefault="00A747DD">
      <w:pPr>
        <w:spacing w:line="276" w:lineRule="auto"/>
        <w:jc w:val="both"/>
        <w:rPr>
          <w:rFonts w:ascii="Museo Sans 300" w:eastAsia="Museo Sans 300" w:hAnsi="Museo Sans 300" w:cs="Museo Sans 300"/>
          <w:sz w:val="16"/>
          <w:szCs w:val="16"/>
        </w:rPr>
      </w:pPr>
    </w:p>
    <w:p w14:paraId="4B949389" w14:textId="77777777" w:rsidR="00A747DD" w:rsidRPr="009B6C0B" w:rsidRDefault="00255E85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>El resto de departamentos han generado variaciones positivas en la recaudación con respecto al anterior; destacando los departamentos de Santa Ana y San Miguel que han reportado mayores montos y con variaciones del 16.3% y 8.7% al compararse con el desempeño observado respecto a 2024.</w:t>
      </w:r>
    </w:p>
    <w:p w14:paraId="1DECC1CB" w14:textId="77777777" w:rsidR="00A747DD" w:rsidRPr="009B6C0B" w:rsidRDefault="00A747DD">
      <w:pPr>
        <w:spacing w:line="276" w:lineRule="auto"/>
        <w:jc w:val="both"/>
        <w:rPr>
          <w:rFonts w:ascii="Museo Sans 300" w:eastAsia="Museo Sans 300" w:hAnsi="Museo Sans 300" w:cs="Museo Sans 300"/>
          <w:sz w:val="16"/>
          <w:szCs w:val="16"/>
        </w:rPr>
      </w:pPr>
    </w:p>
    <w:p w14:paraId="1ED35194" w14:textId="77777777" w:rsidR="00A747DD" w:rsidRPr="009B6C0B" w:rsidRDefault="00A747DD">
      <w:pPr>
        <w:spacing w:line="276" w:lineRule="auto"/>
        <w:jc w:val="both"/>
        <w:rPr>
          <w:rFonts w:ascii="Museo Sans 300" w:eastAsia="Museo Sans 300" w:hAnsi="Museo Sans 300" w:cs="Museo Sans 300"/>
          <w:sz w:val="16"/>
          <w:szCs w:val="16"/>
        </w:rPr>
      </w:pPr>
    </w:p>
    <w:p w14:paraId="2BED6386" w14:textId="77777777" w:rsidR="00A747DD" w:rsidRPr="009B6C0B" w:rsidRDefault="00255E85">
      <w:pPr>
        <w:rPr>
          <w:rFonts w:ascii="Museo Sans 300" w:eastAsia="Museo Sans 300" w:hAnsi="Museo Sans 300" w:cs="Museo Sans 300"/>
          <w:b/>
          <w:bCs/>
          <w:sz w:val="22"/>
          <w:szCs w:val="22"/>
        </w:rPr>
      </w:pPr>
      <w:bookmarkStart w:id="16" w:name="_wi5qjbqwzrzp" w:colFirst="0" w:colLast="0"/>
      <w:bookmarkEnd w:id="16"/>
      <w:r w:rsidRPr="009B6C0B">
        <w:rPr>
          <w:rFonts w:ascii="Museo Sans 300" w:eastAsia="Museo Sans 300" w:hAnsi="Museo Sans 300" w:cs="Museo Sans 300"/>
          <w:b/>
          <w:bCs/>
          <w:sz w:val="22"/>
          <w:szCs w:val="22"/>
        </w:rPr>
        <w:t>Según Sector Económico.</w:t>
      </w:r>
    </w:p>
    <w:p w14:paraId="4D0FCD77" w14:textId="77777777" w:rsidR="00A747DD" w:rsidRPr="009B6C0B" w:rsidRDefault="00A747DD">
      <w:pPr>
        <w:jc w:val="both"/>
        <w:rPr>
          <w:rFonts w:ascii="Museo Sans 300" w:eastAsia="Museo Sans 300" w:hAnsi="Museo Sans 300" w:cs="Museo Sans 300"/>
          <w:sz w:val="22"/>
          <w:szCs w:val="22"/>
          <w:highlight w:val="yellow"/>
        </w:rPr>
      </w:pPr>
    </w:p>
    <w:p w14:paraId="724A3A80" w14:textId="77777777" w:rsidR="00A747DD" w:rsidRPr="009B6C0B" w:rsidRDefault="00255E85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>En cuanto a la recaudación por</w:t>
      </w:r>
      <w:r w:rsidRPr="009B6C0B">
        <w:rPr>
          <w:rFonts w:ascii="Museo Sans 300" w:eastAsia="Museo Sans 300" w:hAnsi="Museo Sans 300" w:cs="Museo Sans 300"/>
          <w:b/>
          <w:bCs/>
          <w:sz w:val="22"/>
          <w:szCs w:val="22"/>
        </w:rPr>
        <w:t xml:space="preserve"> sector económico</w:t>
      </w:r>
      <w:r w:rsidRPr="009B6C0B">
        <w:rPr>
          <w:rFonts w:ascii="Museo Sans 300" w:eastAsia="Museo Sans 300" w:hAnsi="Museo Sans 300" w:cs="Museo Sans 300"/>
          <w:sz w:val="22"/>
          <w:szCs w:val="22"/>
        </w:rPr>
        <w:t>, al analizar los resultados, los sectores con mayor peso en la recaudación son los siguientes: Comercio al por mayor y al por menor; Industria Manufacturera y Actividades Financieras y de Seguros, estos en conjunto han aportado el 63.4% del total recaudado.</w:t>
      </w:r>
    </w:p>
    <w:p w14:paraId="24B32C66" w14:textId="77777777" w:rsidR="00A747DD" w:rsidRPr="009B6C0B" w:rsidRDefault="00A747DD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08BB0E1D" w14:textId="77777777" w:rsidR="00A747DD" w:rsidRPr="009B6C0B" w:rsidRDefault="00255E85">
      <w:pPr>
        <w:spacing w:line="276" w:lineRule="auto"/>
        <w:jc w:val="both"/>
        <w:rPr>
          <w:rFonts w:ascii="Museo Sans 300" w:hAnsi="Museo Sans 300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>Según el informe de la DGII, el comercio al por mayor y al por menor mostraron un mayor monto de recaudación, totalizando US$3,072.6 millones con un incremento anual de $207.2 millones (7.2%); Industrias Manufactureras es el segundo sector en importancia por su aporte en la recaudación la cual alcanzó US$1,215.2 millones, con una variación de 6.8% y el tercer sector con mayor recaudación fueron las Actividades Financieras y de Seguros, con US$772.9 millones, siendo mayor con relación al año anterior en 6.2%.</w:t>
      </w:r>
      <w:r w:rsidRPr="009B6C0B">
        <w:rPr>
          <w:rFonts w:ascii="Museo Sans 300" w:hAnsi="Museo Sans 300"/>
        </w:rPr>
        <w:t xml:space="preserve"> </w:t>
      </w:r>
    </w:p>
    <w:p w14:paraId="0B1925D6" w14:textId="77777777" w:rsidR="00A747DD" w:rsidRPr="009B6C0B" w:rsidRDefault="00A747DD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5ECD382A" w14:textId="2161DD76" w:rsidR="00A747DD" w:rsidRPr="009B6C0B" w:rsidRDefault="00255E85">
      <w:pPr>
        <w:pStyle w:val="Ttulo3"/>
        <w:spacing w:line="480" w:lineRule="auto"/>
        <w:rPr>
          <w:rFonts w:ascii="Museo Sans 300" w:eastAsia="Museo Sans 300" w:hAnsi="Museo Sans 300" w:cs="Museo Sans 300"/>
        </w:rPr>
      </w:pPr>
      <w:bookmarkStart w:id="17" w:name="_Toc243319588"/>
      <w:r w:rsidRPr="009B6C0B">
        <w:rPr>
          <w:rFonts w:ascii="Museo Sans 300" w:eastAsia="Museo Sans 300" w:hAnsi="Museo Sans 300" w:cs="Museo Sans 300"/>
        </w:rPr>
        <w:t xml:space="preserve">1.2 Ingresos </w:t>
      </w:r>
      <w:r w:rsidR="00CB08B7">
        <w:rPr>
          <w:rFonts w:ascii="Museo Sans 300" w:eastAsia="Museo Sans 300" w:hAnsi="Museo Sans 300" w:cs="Museo Sans 300"/>
        </w:rPr>
        <w:t>N</w:t>
      </w:r>
      <w:r w:rsidRPr="009B6C0B">
        <w:rPr>
          <w:rFonts w:ascii="Museo Sans 300" w:eastAsia="Museo Sans 300" w:hAnsi="Museo Sans 300" w:cs="Museo Sans 300"/>
        </w:rPr>
        <w:t>o Tributarios</w:t>
      </w:r>
      <w:bookmarkEnd w:id="17"/>
    </w:p>
    <w:p w14:paraId="01F090A8" w14:textId="77777777" w:rsidR="00A747DD" w:rsidRPr="009B6C0B" w:rsidRDefault="00255E85">
      <w:pPr>
        <w:tabs>
          <w:tab w:val="left" w:pos="0"/>
          <w:tab w:val="left" w:pos="9214"/>
        </w:tabs>
        <w:spacing w:after="240"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bookmarkStart w:id="18" w:name="_c7k49dud1tno" w:colFirst="0" w:colLast="0"/>
      <w:bookmarkEnd w:id="18"/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Los ingresos no tributarios a nivel de SPNF registraron un monto de $1,517.2 millones, con un aumento de $210.9 millones en relación al mes de diciembre 2024, reflejado en los subsectores del Gobierno Central, $87.1 millones; Resto del Gobierno General, $103.2 </w:t>
      </w:r>
      <w:r w:rsidRPr="009B6C0B">
        <w:rPr>
          <w:rFonts w:ascii="Museo Sans 300" w:eastAsia="Museo Sans 300" w:hAnsi="Museo Sans 300" w:cs="Museo Sans 300"/>
          <w:sz w:val="22"/>
          <w:szCs w:val="22"/>
        </w:rPr>
        <w:lastRenderedPageBreak/>
        <w:t xml:space="preserve">millones y las Empresas Públicas no Financieras, con un crecimiento de $20.6 millones, respectivamente. </w:t>
      </w:r>
    </w:p>
    <w:p w14:paraId="04EA3801" w14:textId="77777777" w:rsidR="00A747DD" w:rsidRPr="009B6C0B" w:rsidRDefault="00255E85">
      <w:pPr>
        <w:pStyle w:val="Ttulo3"/>
        <w:spacing w:line="480" w:lineRule="auto"/>
        <w:rPr>
          <w:rFonts w:ascii="Museo Sans 300" w:eastAsia="Museo Sans 300" w:hAnsi="Museo Sans 300" w:cs="Museo Sans 300"/>
        </w:rPr>
      </w:pPr>
      <w:bookmarkStart w:id="19" w:name="_Toc243319589"/>
      <w:r w:rsidRPr="009B6C0B">
        <w:rPr>
          <w:rFonts w:ascii="Museo Sans 300" w:eastAsia="Museo Sans 300" w:hAnsi="Museo Sans 300" w:cs="Museo Sans 300"/>
        </w:rPr>
        <w:t>1.3 Superávit de Operación de las Empresas Públicas No Financieras</w:t>
      </w:r>
      <w:bookmarkEnd w:id="19"/>
    </w:p>
    <w:p w14:paraId="78C87FD6" w14:textId="449F9B0E" w:rsidR="00661F97" w:rsidRPr="009B6C0B" w:rsidRDefault="00767051" w:rsidP="00767051">
      <w:pPr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767051">
        <w:rPr>
          <w:rFonts w:ascii="Museo Sans 300" w:eastAsia="Museo Sans 300" w:hAnsi="Museo Sans 300" w:cs="Museo Sans 300"/>
          <w:sz w:val="22"/>
          <w:szCs w:val="22"/>
        </w:rPr>
        <w:t xml:space="preserve">Por otra parte, las Empresas Públicas No Financieras reportan un superávit de operación de $155.8 millones. Este resultado </w:t>
      </w:r>
      <w:r>
        <w:rPr>
          <w:rFonts w:ascii="Museo Sans 300" w:eastAsia="Museo Sans 300" w:hAnsi="Museo Sans 300" w:cs="Museo Sans 300"/>
          <w:sz w:val="22"/>
          <w:szCs w:val="22"/>
        </w:rPr>
        <w:t xml:space="preserve">incorpora </w:t>
      </w:r>
      <w:r w:rsidRPr="00767051">
        <w:rPr>
          <w:rFonts w:ascii="Museo Sans 300" w:eastAsia="Museo Sans 300" w:hAnsi="Museo Sans 300" w:cs="Museo Sans 300"/>
          <w:sz w:val="22"/>
          <w:szCs w:val="22"/>
        </w:rPr>
        <w:t xml:space="preserve">la reorganización </w:t>
      </w:r>
      <w:r w:rsidR="00CB08B7">
        <w:rPr>
          <w:rFonts w:ascii="Museo Sans 300" w:eastAsia="Museo Sans 300" w:hAnsi="Museo Sans 300" w:cs="Museo Sans 300"/>
          <w:sz w:val="22"/>
          <w:szCs w:val="22"/>
        </w:rPr>
        <w:t xml:space="preserve">de las operaciones </w:t>
      </w:r>
      <w:r w:rsidRPr="00767051">
        <w:rPr>
          <w:rFonts w:ascii="Museo Sans 300" w:eastAsia="Museo Sans 300" w:hAnsi="Museo Sans 300" w:cs="Museo Sans 300"/>
          <w:sz w:val="22"/>
          <w:szCs w:val="22"/>
        </w:rPr>
        <w:t xml:space="preserve">en el Puerto de Acajutla con la entrada de la empresa </w:t>
      </w:r>
      <w:proofErr w:type="spellStart"/>
      <w:r w:rsidRPr="00767051">
        <w:rPr>
          <w:rFonts w:ascii="Museo Sans 300" w:eastAsia="Museo Sans 300" w:hAnsi="Museo Sans 300" w:cs="Museo Sans 300"/>
          <w:sz w:val="22"/>
          <w:szCs w:val="22"/>
        </w:rPr>
        <w:t>Yilport</w:t>
      </w:r>
      <w:proofErr w:type="spellEnd"/>
      <w:r w:rsidRPr="00767051">
        <w:rPr>
          <w:rFonts w:ascii="Museo Sans 300" w:eastAsia="Museo Sans 300" w:hAnsi="Museo Sans 300" w:cs="Museo Sans 300"/>
          <w:sz w:val="22"/>
          <w:szCs w:val="22"/>
        </w:rPr>
        <w:t xml:space="preserve"> Holding</w:t>
      </w:r>
      <w:r w:rsidR="00CB08B7">
        <w:rPr>
          <w:rFonts w:ascii="Museo Sans 300" w:eastAsia="Museo Sans 300" w:hAnsi="Museo Sans 300" w:cs="Museo Sans 300"/>
          <w:sz w:val="22"/>
          <w:szCs w:val="22"/>
        </w:rPr>
        <w:t>,</w:t>
      </w:r>
      <w:r w:rsidRPr="00767051">
        <w:rPr>
          <w:rFonts w:ascii="Museo Sans 300" w:eastAsia="Museo Sans 300" w:hAnsi="Museo Sans 300" w:cs="Museo Sans 300"/>
          <w:sz w:val="22"/>
          <w:szCs w:val="22"/>
        </w:rPr>
        <w:t xml:space="preserve"> a través de est</w:t>
      </w:r>
      <w:r w:rsidR="00CB08B7">
        <w:rPr>
          <w:rFonts w:ascii="Museo Sans 300" w:eastAsia="Museo Sans 300" w:hAnsi="Museo Sans 300" w:cs="Museo Sans 300"/>
          <w:sz w:val="22"/>
          <w:szCs w:val="22"/>
        </w:rPr>
        <w:t xml:space="preserve">a </w:t>
      </w:r>
      <w:r w:rsidRPr="00767051">
        <w:rPr>
          <w:rFonts w:ascii="Museo Sans 300" w:eastAsia="Museo Sans 300" w:hAnsi="Museo Sans 300" w:cs="Museo Sans 300"/>
          <w:sz w:val="22"/>
          <w:szCs w:val="22"/>
        </w:rPr>
        <w:t xml:space="preserve">Sociedad de Economía Mixta (SEM) con CEPA, </w:t>
      </w:r>
      <w:r w:rsidR="00CB08B7">
        <w:rPr>
          <w:rFonts w:ascii="Museo Sans 300" w:eastAsia="Museo Sans 300" w:hAnsi="Museo Sans 300" w:cs="Museo Sans 300"/>
          <w:sz w:val="22"/>
          <w:szCs w:val="22"/>
        </w:rPr>
        <w:t xml:space="preserve">se mejora </w:t>
      </w:r>
      <w:r w:rsidRPr="00767051">
        <w:rPr>
          <w:rFonts w:ascii="Museo Sans 300" w:eastAsia="Museo Sans 300" w:hAnsi="Museo Sans 300" w:cs="Museo Sans 300"/>
          <w:sz w:val="22"/>
          <w:szCs w:val="22"/>
        </w:rPr>
        <w:t>significativamente la eficacia operativa y la eficiencia económica.</w:t>
      </w:r>
      <w:r w:rsidR="009B6C0B">
        <w:rPr>
          <w:rFonts w:ascii="Museo Sans 300" w:eastAsia="Museo Sans 300" w:hAnsi="Museo Sans 300" w:cs="Museo Sans 300"/>
          <w:sz w:val="22"/>
          <w:szCs w:val="22"/>
        </w:rPr>
        <w:br w:type="page"/>
      </w:r>
    </w:p>
    <w:p w14:paraId="66041101" w14:textId="1D439944" w:rsidR="00A747DD" w:rsidRPr="009B6C0B" w:rsidRDefault="00255E85" w:rsidP="00661F97">
      <w:pPr>
        <w:pStyle w:val="Ttulo2"/>
        <w:spacing w:line="480" w:lineRule="auto"/>
        <w:rPr>
          <w:rFonts w:ascii="Museo Sans 300" w:eastAsia="Museo Sans 300" w:hAnsi="Museo Sans 300" w:cs="Museo Sans 300"/>
        </w:rPr>
      </w:pPr>
      <w:r w:rsidRPr="009B6C0B">
        <w:rPr>
          <w:rFonts w:ascii="Museo Sans 300" w:eastAsia="Museo Sans 300" w:hAnsi="Museo Sans 300" w:cs="Museo Sans 300"/>
        </w:rPr>
        <w:lastRenderedPageBreak/>
        <w:t xml:space="preserve"> </w:t>
      </w:r>
      <w:bookmarkStart w:id="20" w:name="_Toc243319590"/>
      <w:r w:rsidRPr="009B6C0B">
        <w:rPr>
          <w:rFonts w:ascii="Museo Sans 300" w:eastAsia="Museo Sans 300" w:hAnsi="Museo Sans 300" w:cs="Museo Sans 300"/>
        </w:rPr>
        <w:t>2. Gastos del Sector Público No Financiero</w:t>
      </w:r>
      <w:r w:rsidRPr="00F33A7D">
        <w:rPr>
          <w:rFonts w:ascii="Museo Sans 300" w:eastAsia="Museo Sans 300" w:hAnsi="Museo Sans 300" w:cs="Museo Sans 300"/>
          <w:vertAlign w:val="superscript"/>
        </w:rPr>
        <w:footnoteReference w:id="3"/>
      </w:r>
      <w:bookmarkEnd w:id="20"/>
    </w:p>
    <w:p w14:paraId="25C6E2E0" w14:textId="6AF50166" w:rsidR="00A747DD" w:rsidRPr="009B6C0B" w:rsidRDefault="00255E85" w:rsidP="00D0041A">
      <w:pPr>
        <w:spacing w:after="240" w:line="276" w:lineRule="auto"/>
        <w:ind w:right="-32"/>
        <w:jc w:val="both"/>
        <w:rPr>
          <w:rFonts w:ascii="Museo Sans 300" w:eastAsia="Museo Sans 300" w:hAnsi="Museo Sans 300" w:cs="Museo Sans 300"/>
          <w:sz w:val="22"/>
          <w:szCs w:val="22"/>
        </w:rPr>
      </w:pPr>
      <w:bookmarkStart w:id="21" w:name="_qzp6o0ryz9h6" w:colFirst="0" w:colLast="0"/>
      <w:bookmarkEnd w:id="21"/>
      <w:r w:rsidRPr="009B6C0B">
        <w:rPr>
          <w:rFonts w:ascii="Museo Sans 300" w:eastAsia="Museo Sans 300" w:hAnsi="Museo Sans 300" w:cs="Museo Sans 300"/>
          <w:sz w:val="22"/>
          <w:szCs w:val="22"/>
        </w:rPr>
        <w:t>La ejecución del gasto total del SPNF al mes de diciembre de 2025 ascendió a $10,853.9 millones, con un aumento de $196.8 millones con respecto al año anterior,</w:t>
      </w:r>
      <w:r w:rsidRPr="009B6C0B">
        <w:rPr>
          <w:rFonts w:ascii="Museo Sans 300" w:eastAsia="Museo Sans 100" w:hAnsi="Museo Sans 300" w:cs="Museo Sans 100"/>
          <w:i/>
          <w:iCs/>
          <w:sz w:val="22"/>
          <w:szCs w:val="22"/>
        </w:rPr>
        <w:t xml:space="preserve"> </w:t>
      </w:r>
      <w:r w:rsidRPr="009B6C0B">
        <w:rPr>
          <w:rFonts w:ascii="Museo Sans 300" w:eastAsia="Museo Sans 300" w:hAnsi="Museo Sans 300" w:cs="Museo Sans 300"/>
          <w:sz w:val="22"/>
          <w:szCs w:val="22"/>
        </w:rPr>
        <w:t>resultado responde al dinamismo observado en el gasto de capital</w:t>
      </w:r>
      <w:r w:rsidRPr="009B6C0B">
        <w:rPr>
          <w:rFonts w:ascii="Museo Sans 300" w:eastAsia="Museo Sans 100" w:hAnsi="Museo Sans 300" w:cs="Museo Sans 100"/>
          <w:i/>
          <w:iCs/>
          <w:sz w:val="22"/>
          <w:szCs w:val="22"/>
        </w:rPr>
        <w:t>.</w:t>
      </w:r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 Los gastos totales representaron en términos del PIB, un 29.6%, resultado menor en 1.0 puntos porcentuales con respecto a los registrados en 2024.</w:t>
      </w:r>
    </w:p>
    <w:p w14:paraId="59FA7986" w14:textId="77777777" w:rsidR="00A747DD" w:rsidRPr="009B6C0B" w:rsidRDefault="00255E85" w:rsidP="00D0041A">
      <w:pPr>
        <w:spacing w:after="240" w:line="276" w:lineRule="auto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i/>
          <w:iCs/>
          <w:sz w:val="22"/>
          <w:szCs w:val="22"/>
        </w:rPr>
        <w:t xml:space="preserve">Gráfico 4: Evolución del Gasto Público Total del SPNF a diciembre 2020 -2025 </w:t>
      </w:r>
    </w:p>
    <w:p w14:paraId="7914F4D3" w14:textId="29E56C7E" w:rsidR="00A747DD" w:rsidRPr="009B6C0B" w:rsidRDefault="00F74462">
      <w:pPr>
        <w:spacing w:line="276" w:lineRule="auto"/>
        <w:jc w:val="center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hAnsi="Museo Sans 300"/>
          <w:noProof/>
        </w:rPr>
        <w:drawing>
          <wp:inline distT="0" distB="0" distL="0" distR="0" wp14:anchorId="16E09378" wp14:editId="2CA1CC15">
            <wp:extent cx="5626735" cy="3244362"/>
            <wp:effectExtent l="0" t="0" r="0" b="0"/>
            <wp:docPr id="28" name="Gráfico 28">
              <a:extLst xmlns:a="http://schemas.openxmlformats.org/drawingml/2006/main">
                <a:ext uri="{FF2B5EF4-FFF2-40B4-BE49-F238E27FC236}">
                  <a16:creationId xmlns:a16="http://schemas.microsoft.com/office/drawing/2014/main" id="{B005A01E-F952-4A0B-A49C-304812E9968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254A64D" w14:textId="77777777" w:rsidR="00D0041A" w:rsidRPr="009B6C0B" w:rsidRDefault="00D0041A" w:rsidP="00D0041A">
      <w:pPr>
        <w:spacing w:line="276" w:lineRule="auto"/>
        <w:jc w:val="both"/>
        <w:rPr>
          <w:rFonts w:ascii="Museo Sans 300" w:eastAsia="Museo Sans 300" w:hAnsi="Museo Sans 300" w:cs="Museo Sans 300"/>
          <w:sz w:val="18"/>
          <w:szCs w:val="18"/>
        </w:rPr>
      </w:pPr>
      <w:r w:rsidRPr="009B6C0B">
        <w:rPr>
          <w:rFonts w:ascii="Museo Sans 300" w:eastAsia="Museo Sans 300" w:hAnsi="Museo Sans 300" w:cs="Museo Sans 300"/>
          <w:sz w:val="18"/>
          <w:szCs w:val="18"/>
        </w:rPr>
        <w:t xml:space="preserve">Fuente: Ministerio de Hacienda </w:t>
      </w:r>
    </w:p>
    <w:p w14:paraId="3401391D" w14:textId="44FBCFB0" w:rsidR="00A747DD" w:rsidRPr="009B6C0B" w:rsidRDefault="00255E85">
      <w:pPr>
        <w:pStyle w:val="Ttulo3"/>
        <w:spacing w:line="480" w:lineRule="auto"/>
        <w:rPr>
          <w:rFonts w:ascii="Museo Sans 300" w:eastAsia="Museo Sans 300" w:hAnsi="Museo Sans 300" w:cs="Museo Sans 300"/>
        </w:rPr>
      </w:pPr>
      <w:bookmarkStart w:id="22" w:name="_Toc243319591"/>
      <w:r w:rsidRPr="009B6C0B">
        <w:rPr>
          <w:rFonts w:ascii="Museo Sans 300" w:eastAsia="Museo Sans 300" w:hAnsi="Museo Sans 300" w:cs="Museo Sans 300"/>
        </w:rPr>
        <w:t xml:space="preserve">2.1 Gastos </w:t>
      </w:r>
      <w:r w:rsidR="009E25C3">
        <w:rPr>
          <w:rFonts w:ascii="Museo Sans 300" w:eastAsia="Museo Sans 300" w:hAnsi="Museo Sans 300" w:cs="Museo Sans 300"/>
        </w:rPr>
        <w:t>C</w:t>
      </w:r>
      <w:r w:rsidRPr="009B6C0B">
        <w:rPr>
          <w:rFonts w:ascii="Museo Sans 300" w:eastAsia="Museo Sans 300" w:hAnsi="Museo Sans 300" w:cs="Museo Sans 300"/>
        </w:rPr>
        <w:t>orrientes</w:t>
      </w:r>
      <w:bookmarkEnd w:id="22"/>
    </w:p>
    <w:p w14:paraId="2DF8EE1F" w14:textId="77777777" w:rsidR="00A747DD" w:rsidRPr="009B6C0B" w:rsidRDefault="00255E8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2"/>
        <w:jc w:val="both"/>
        <w:rPr>
          <w:rFonts w:ascii="Museo Sans 300" w:eastAsia="Museo Sans 300" w:hAnsi="Museo Sans 300" w:cs="Museo Sans 300"/>
          <w:color w:val="000000"/>
          <w:sz w:val="22"/>
          <w:szCs w:val="22"/>
        </w:rPr>
      </w:pPr>
      <w:bookmarkStart w:id="23" w:name="_81spa1ldkj2b" w:colFirst="0" w:colLast="0"/>
      <w:bookmarkEnd w:id="23"/>
      <w:r w:rsidRPr="009B6C0B">
        <w:rPr>
          <w:rFonts w:ascii="Museo Sans 300" w:eastAsia="Museo Sans 300" w:hAnsi="Museo Sans 300" w:cs="Museo Sans 300"/>
          <w:color w:val="000000"/>
          <w:sz w:val="22"/>
          <w:szCs w:val="22"/>
        </w:rPr>
        <w:t>Los gastos corrientes del SPNF registraron un monto de $9,149.7 millones, mostrando una disminución anual en términos netos de -$72.3 millones. La reducción se observa principalmente en los rubros de remuneraciones y transferencias corrientes. Como porcentaje del PIB el gasto corriente equivale a 25.0%, registrando una disminución de 0.8 puntos porcentuales con respecto al mismo período del año anterior.</w:t>
      </w:r>
    </w:p>
    <w:p w14:paraId="41D3D3E8" w14:textId="77777777" w:rsidR="00A747DD" w:rsidRPr="009B6C0B" w:rsidRDefault="00A747D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2"/>
        <w:jc w:val="both"/>
        <w:rPr>
          <w:rFonts w:ascii="Museo Sans 300" w:eastAsia="Museo Sans 300" w:hAnsi="Museo Sans 300" w:cs="Museo Sans 300"/>
          <w:strike/>
          <w:color w:val="000000"/>
          <w:sz w:val="22"/>
          <w:szCs w:val="22"/>
        </w:rPr>
      </w:pPr>
    </w:p>
    <w:p w14:paraId="76755168" w14:textId="4DECC3C4" w:rsidR="00A747DD" w:rsidRPr="009B6C0B" w:rsidRDefault="00255E85">
      <w:pPr>
        <w:spacing w:line="276" w:lineRule="auto"/>
        <w:jc w:val="both"/>
        <w:rPr>
          <w:rFonts w:ascii="Museo Sans 300" w:eastAsia="Museo Sans 100" w:hAnsi="Museo Sans 300" w:cs="Museo Sans 100"/>
          <w:i/>
          <w:iCs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De forma detallada los gastos de consumo, ascendieron a $5,679.3 millones, mostrando una disminución de $90.4 millones con respecto a diciembre 2024 donde las remuneraciones registraron un valor de $3,727.1 millones </w:t>
      </w:r>
      <w:r w:rsidR="00F33A7D">
        <w:rPr>
          <w:rFonts w:ascii="Museo Sans 300" w:eastAsia="Museo Sans 300" w:hAnsi="Museo Sans 300" w:cs="Museo Sans 300"/>
          <w:sz w:val="22"/>
          <w:szCs w:val="22"/>
        </w:rPr>
        <w:t>y e</w:t>
      </w:r>
      <w:r w:rsidRPr="009B6C0B">
        <w:rPr>
          <w:rFonts w:ascii="Museo Sans 300" w:eastAsia="Museo Sans 300" w:hAnsi="Museo Sans 300" w:cs="Museo Sans 300"/>
          <w:sz w:val="22"/>
          <w:szCs w:val="22"/>
        </w:rPr>
        <w:t>l rubro de bienes y servicios registró $1,952.2 millones, con un aumento de $111.4 millones (6.1%)</w:t>
      </w:r>
      <w:r w:rsidRPr="009B6C0B">
        <w:rPr>
          <w:rFonts w:ascii="Museo Sans 300" w:eastAsia="Museo Sans 100" w:hAnsi="Museo Sans 300" w:cs="Museo Sans 100"/>
          <w:i/>
          <w:iCs/>
          <w:sz w:val="22"/>
          <w:szCs w:val="22"/>
        </w:rPr>
        <w:t xml:space="preserve"> </w:t>
      </w:r>
      <w:r w:rsidR="00F33A7D">
        <w:rPr>
          <w:rFonts w:ascii="Museo Sans 300" w:eastAsia="Museo Sans 300" w:hAnsi="Museo Sans 300" w:cs="Museo Sans 300"/>
          <w:sz w:val="22"/>
          <w:szCs w:val="22"/>
        </w:rPr>
        <w:t xml:space="preserve">explicado por </w:t>
      </w:r>
      <w:r w:rsidRPr="009B6C0B">
        <w:rPr>
          <w:rFonts w:ascii="Museo Sans 300" w:eastAsia="Museo Sans 300" w:hAnsi="Museo Sans 300" w:cs="Museo Sans 300"/>
          <w:sz w:val="22"/>
          <w:szCs w:val="22"/>
        </w:rPr>
        <w:t>el pago oportuno a proveedores realizado por el Gobierno Central</w:t>
      </w:r>
      <w:r w:rsidRPr="009B6C0B">
        <w:rPr>
          <w:rFonts w:ascii="Museo Sans 300" w:eastAsia="Museo Sans 100" w:hAnsi="Museo Sans 300" w:cs="Museo Sans 100"/>
          <w:i/>
          <w:iCs/>
          <w:sz w:val="22"/>
          <w:szCs w:val="22"/>
        </w:rPr>
        <w:t>.</w:t>
      </w:r>
    </w:p>
    <w:p w14:paraId="4DEDEE33" w14:textId="77777777" w:rsidR="00A747DD" w:rsidRPr="009B6C0B" w:rsidRDefault="00A747DD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324C7A00" w14:textId="28BCEA8E" w:rsidR="00A747DD" w:rsidRPr="00A23FAA" w:rsidRDefault="00255E85" w:rsidP="004A168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43" w:line="276" w:lineRule="auto"/>
        <w:jc w:val="both"/>
        <w:rPr>
          <w:rFonts w:ascii="Museo Sans 300" w:eastAsia="Museo Sans 300" w:hAnsi="Museo Sans 300" w:cs="Museo Sans 300"/>
          <w:i/>
          <w:iCs/>
          <w:color w:val="000000"/>
          <w:sz w:val="22"/>
          <w:szCs w:val="22"/>
        </w:rPr>
      </w:pPr>
      <w:r w:rsidRPr="00A23FAA">
        <w:rPr>
          <w:rFonts w:ascii="Museo Sans 300" w:eastAsia="Museo Sans 300" w:hAnsi="Museo Sans 300" w:cs="Museo Sans 300"/>
          <w:i/>
          <w:iCs/>
          <w:color w:val="000000"/>
          <w:sz w:val="22"/>
          <w:szCs w:val="22"/>
        </w:rPr>
        <w:lastRenderedPageBreak/>
        <w:t>Gráfico 5: Composición del Gasto Corriente del SPNF</w:t>
      </w:r>
      <w:r w:rsidR="00E64D1F">
        <w:rPr>
          <w:rFonts w:ascii="Museo Sans 300" w:eastAsia="Museo Sans 300" w:hAnsi="Museo Sans 300" w:cs="Museo Sans 300"/>
          <w:i/>
          <w:iCs/>
          <w:color w:val="000000"/>
          <w:sz w:val="22"/>
          <w:szCs w:val="22"/>
        </w:rPr>
        <w:t xml:space="preserve"> con </w:t>
      </w:r>
      <w:r w:rsidR="00FC747B">
        <w:rPr>
          <w:rFonts w:ascii="Museo Sans 300" w:eastAsia="Museo Sans 300" w:hAnsi="Museo Sans 300" w:cs="Museo Sans 300"/>
          <w:i/>
          <w:iCs/>
          <w:color w:val="000000"/>
          <w:sz w:val="22"/>
          <w:szCs w:val="22"/>
        </w:rPr>
        <w:t xml:space="preserve">respecto al PIB </w:t>
      </w:r>
      <w:r w:rsidR="00FC747B" w:rsidRPr="00A23FAA">
        <w:rPr>
          <w:rFonts w:ascii="Museo Sans 300" w:eastAsia="Museo Sans 300" w:hAnsi="Museo Sans 300" w:cs="Museo Sans 300"/>
          <w:i/>
          <w:iCs/>
          <w:color w:val="000000"/>
          <w:sz w:val="22"/>
          <w:szCs w:val="22"/>
        </w:rPr>
        <w:t>a</w:t>
      </w:r>
      <w:r w:rsidRPr="00A23FAA">
        <w:rPr>
          <w:rFonts w:ascii="Museo Sans 300" w:eastAsia="Museo Sans 300" w:hAnsi="Museo Sans 300" w:cs="Museo Sans 300"/>
          <w:i/>
          <w:iCs/>
          <w:color w:val="000000"/>
          <w:sz w:val="22"/>
          <w:szCs w:val="22"/>
        </w:rPr>
        <w:t xml:space="preserve"> diciembre 2020-2025</w:t>
      </w:r>
    </w:p>
    <w:p w14:paraId="4EDB836B" w14:textId="7B1D3CFE" w:rsidR="00A747DD" w:rsidRPr="009B6C0B" w:rsidRDefault="00FC747B">
      <w:pPr>
        <w:spacing w:line="480" w:lineRule="auto"/>
        <w:jc w:val="center"/>
        <w:rPr>
          <w:rFonts w:ascii="Museo Sans 300" w:eastAsia="Museo Sans 300" w:hAnsi="Museo Sans 300" w:cs="Museo Sans 300"/>
          <w:sz w:val="22"/>
          <w:szCs w:val="22"/>
        </w:rPr>
      </w:pPr>
      <w:r>
        <w:rPr>
          <w:noProof/>
        </w:rPr>
        <w:drawing>
          <wp:inline distT="0" distB="0" distL="0" distR="0" wp14:anchorId="2BB9C639" wp14:editId="7508C2E0">
            <wp:extent cx="5381625" cy="3128963"/>
            <wp:effectExtent l="0" t="0" r="0" b="0"/>
            <wp:docPr id="2" name="Gráfico 2">
              <a:extLst xmlns:a="http://schemas.openxmlformats.org/drawingml/2006/main">
                <a:ext uri="{FF2B5EF4-FFF2-40B4-BE49-F238E27FC236}">
                  <a16:creationId xmlns:a16="http://schemas.microsoft.com/office/drawing/2014/main" id="{447D7A06-F354-4920-A855-D229A94F2BC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564D7E34" w14:textId="08080429" w:rsidR="00A747DD" w:rsidRPr="009B6C0B" w:rsidRDefault="00255E85" w:rsidP="00D0041A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right="-32"/>
        <w:jc w:val="both"/>
        <w:rPr>
          <w:rFonts w:ascii="Museo Sans 300" w:eastAsia="Museo Sans 300" w:hAnsi="Museo Sans 300" w:cs="Museo Sans 300"/>
          <w:color w:val="000000"/>
          <w:sz w:val="18"/>
          <w:szCs w:val="18"/>
        </w:rPr>
      </w:pPr>
      <w:r w:rsidRPr="009B6C0B">
        <w:rPr>
          <w:rFonts w:ascii="Museo Sans 300" w:eastAsia="Museo Sans 300" w:hAnsi="Museo Sans 300" w:cs="Museo Sans 300"/>
          <w:color w:val="000000"/>
          <w:sz w:val="18"/>
          <w:szCs w:val="18"/>
        </w:rPr>
        <w:t>Fuente: Ministerio de Hacienda</w:t>
      </w:r>
    </w:p>
    <w:p w14:paraId="73034184" w14:textId="77777777" w:rsidR="00D0041A" w:rsidRPr="009B6C0B" w:rsidRDefault="00D0041A" w:rsidP="00D0041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43" w:line="276" w:lineRule="auto"/>
        <w:jc w:val="both"/>
        <w:rPr>
          <w:rFonts w:ascii="Museo Sans 300" w:eastAsia="Museo Sans 300" w:hAnsi="Museo Sans 300" w:cs="Museo Sans 300"/>
          <w:color w:val="0000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color w:val="000000"/>
          <w:sz w:val="22"/>
          <w:szCs w:val="22"/>
        </w:rPr>
        <w:t>En cuanto a las transferencias corrientes, éstas ascendieron a $1,714.5 millones, mostrando una disminución con respecto al año anterior de $117.1 millones. Entre los mayores montos transferidos podemos destacar:  pago a Veteranos y ex combatientes del conflicto armado; pago de subsidios; transferencias al Instituto de Previsión de la Fuerza Armada (IPSFA), compra de paquetes escolares, pago de pensiones, apoyo a la micro y pequeña empresa, entre otras.</w:t>
      </w:r>
    </w:p>
    <w:p w14:paraId="36945164" w14:textId="7E1DFB3F" w:rsidR="00D0041A" w:rsidRPr="009B6C0B" w:rsidRDefault="00D0041A" w:rsidP="00D0041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43" w:line="276" w:lineRule="auto"/>
        <w:jc w:val="both"/>
        <w:rPr>
          <w:rFonts w:ascii="Museo Sans 300" w:eastAsia="Museo Sans 100" w:hAnsi="Museo Sans 300" w:cs="Museo Sans 100"/>
          <w:i/>
          <w:iCs/>
          <w:color w:val="0000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color w:val="000000"/>
          <w:sz w:val="22"/>
          <w:szCs w:val="22"/>
        </w:rPr>
        <w:t>Al cierre de 2025 se recibieron $52.2 millones acumulados como parte de recuperación de préstamos otorgados a FIREMPRESA en el año 2020, el cual se registra según Manual de Estadísticas de las Finanzas Públicas del FMI 1986, en Concesión Neta de Préstamo</w:t>
      </w:r>
      <w:r w:rsidRPr="009B6C0B">
        <w:rPr>
          <w:rFonts w:ascii="Museo Sans 300" w:eastAsia="Museo Sans 100" w:hAnsi="Museo Sans 300" w:cs="Museo Sans 100"/>
          <w:i/>
          <w:iCs/>
          <w:color w:val="000000"/>
          <w:sz w:val="22"/>
          <w:szCs w:val="22"/>
        </w:rPr>
        <w:t>.</w:t>
      </w:r>
    </w:p>
    <w:p w14:paraId="00CF4C37" w14:textId="77777777" w:rsidR="00A747DD" w:rsidRPr="004A168E" w:rsidRDefault="00255E85">
      <w:pPr>
        <w:pStyle w:val="Ttulo3"/>
        <w:spacing w:line="480" w:lineRule="auto"/>
        <w:rPr>
          <w:rFonts w:ascii="Museo Sans 300" w:eastAsia="Museo Sans 300" w:hAnsi="Museo Sans 300" w:cs="Museo Sans 300"/>
          <w:iCs/>
        </w:rPr>
      </w:pPr>
      <w:bookmarkStart w:id="24" w:name="_Toc243319592"/>
      <w:r w:rsidRPr="004A168E">
        <w:rPr>
          <w:rFonts w:ascii="Museo Sans 300" w:eastAsia="Museo Sans 300" w:hAnsi="Museo Sans 300" w:cs="Museo Sans 300"/>
          <w:iCs/>
        </w:rPr>
        <w:t>2.2 Gasto de Capital</w:t>
      </w:r>
      <w:bookmarkEnd w:id="24"/>
    </w:p>
    <w:p w14:paraId="2BAB9866" w14:textId="77777777" w:rsidR="00A747DD" w:rsidRPr="009B6C0B" w:rsidRDefault="00255E8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2"/>
        <w:jc w:val="both"/>
        <w:rPr>
          <w:rFonts w:ascii="Museo Sans 300" w:eastAsia="Museo Sans 300" w:hAnsi="Museo Sans 300" w:cs="Museo Sans 300"/>
          <w:color w:val="000000"/>
          <w:sz w:val="22"/>
          <w:szCs w:val="22"/>
        </w:rPr>
      </w:pPr>
      <w:bookmarkStart w:id="25" w:name="_x78qn0pyaep2" w:colFirst="0" w:colLast="0"/>
      <w:bookmarkEnd w:id="25"/>
      <w:r w:rsidRPr="009B6C0B">
        <w:rPr>
          <w:rFonts w:ascii="Museo Sans 300" w:eastAsia="Museo Sans 300" w:hAnsi="Museo Sans 300" w:cs="Museo Sans 300"/>
          <w:color w:val="000000"/>
          <w:sz w:val="22"/>
          <w:szCs w:val="22"/>
        </w:rPr>
        <w:t xml:space="preserve">Los gastos de capital del SPNF al mes de diciembre de 2025 alcanzaron un monto de $1,756.3 millones, experimentando un aumento de 22.4% con respecto a </w:t>
      </w:r>
      <w:r w:rsidRPr="009B6C0B">
        <w:rPr>
          <w:rFonts w:ascii="Museo Sans 300" w:eastAsia="Museo Sans 300" w:hAnsi="Museo Sans 300" w:cs="Museo Sans 300"/>
          <w:sz w:val="22"/>
          <w:szCs w:val="22"/>
        </w:rPr>
        <w:t>diciembre de 2024</w:t>
      </w:r>
      <w:r w:rsidRPr="009B6C0B">
        <w:rPr>
          <w:rFonts w:ascii="Museo Sans 300" w:eastAsia="Museo Sans 300" w:hAnsi="Museo Sans 300" w:cs="Museo Sans 300"/>
          <w:color w:val="000000"/>
          <w:sz w:val="22"/>
          <w:szCs w:val="22"/>
        </w:rPr>
        <w:t xml:space="preserve">, producto del dinamismo en la ejecución de la inversión pública. </w:t>
      </w:r>
    </w:p>
    <w:p w14:paraId="7102404B" w14:textId="77777777" w:rsidR="00A747DD" w:rsidRPr="009B6C0B" w:rsidRDefault="00A747D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2"/>
        <w:jc w:val="both"/>
        <w:rPr>
          <w:rFonts w:ascii="Museo Sans 300" w:eastAsia="Museo Sans 300" w:hAnsi="Museo Sans 300" w:cs="Museo Sans 300"/>
          <w:color w:val="000000"/>
          <w:sz w:val="22"/>
          <w:szCs w:val="22"/>
        </w:rPr>
      </w:pPr>
    </w:p>
    <w:p w14:paraId="7E696E46" w14:textId="77777777" w:rsidR="00A747DD" w:rsidRPr="009B6C0B" w:rsidRDefault="00255E8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2"/>
        <w:jc w:val="both"/>
        <w:rPr>
          <w:rFonts w:ascii="Museo Sans 300" w:eastAsia="Museo Sans 300" w:hAnsi="Museo Sans 300" w:cs="Museo Sans 300"/>
          <w:color w:val="0000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color w:val="000000"/>
          <w:sz w:val="22"/>
          <w:szCs w:val="22"/>
        </w:rPr>
        <w:t>La Inversión Pública del SPNF alcanzó un valor de $1,569.7 millones, con un aumento anual de $269.7 millones; representando un 4.3% del PIB. Dicho incremento se explica por la ejecución de infraestructura vial, infraestructura diversa e inversión social que están realizando todas las instituciones del SPNF.</w:t>
      </w:r>
      <w:r w:rsidRPr="009B6C0B">
        <w:rPr>
          <w:rFonts w:ascii="Museo Sans 300" w:eastAsia="Museo Sans 100" w:hAnsi="Museo Sans 300" w:cs="Museo Sans 100"/>
          <w:i/>
          <w:iCs/>
          <w:color w:val="000000"/>
          <w:sz w:val="22"/>
          <w:szCs w:val="22"/>
        </w:rPr>
        <w:t xml:space="preserve"> </w:t>
      </w:r>
      <w:r w:rsidRPr="009B6C0B">
        <w:rPr>
          <w:rFonts w:ascii="Museo Sans 300" w:eastAsia="Museo Sans 300" w:hAnsi="Museo Sans 300" w:cs="Museo Sans 300"/>
          <w:color w:val="000000"/>
          <w:sz w:val="22"/>
          <w:szCs w:val="22"/>
        </w:rPr>
        <w:t>Por su parte, las transferencias de capital, registraron un total de $186.6 millones, mostraron un aumento anual de $51.6 millones, constituido principalmente por fondos destinados a los siguientes programas</w:t>
      </w:r>
      <w:r w:rsidR="00CB6E90" w:rsidRPr="009B6C0B">
        <w:rPr>
          <w:rFonts w:ascii="Museo Sans 300" w:eastAsia="Museo Sans 300" w:hAnsi="Museo Sans 300" w:cs="Museo Sans 300"/>
          <w:color w:val="000000"/>
          <w:sz w:val="22"/>
          <w:szCs w:val="22"/>
        </w:rPr>
        <w:t xml:space="preserve"> y </w:t>
      </w:r>
      <w:r w:rsidR="00CB6E90" w:rsidRPr="009B6C0B">
        <w:rPr>
          <w:rFonts w:ascii="Museo Sans 300" w:eastAsia="Museo Sans 300" w:hAnsi="Museo Sans 300" w:cs="Museo Sans 300"/>
          <w:color w:val="000000"/>
          <w:sz w:val="22"/>
          <w:szCs w:val="22"/>
        </w:rPr>
        <w:lastRenderedPageBreak/>
        <w:t>proyectos</w:t>
      </w:r>
      <w:r w:rsidRPr="009B6C0B">
        <w:rPr>
          <w:rFonts w:ascii="Museo Sans 300" w:eastAsia="Museo Sans 300" w:hAnsi="Museo Sans 300" w:cs="Museo Sans 300"/>
          <w:color w:val="000000"/>
          <w:sz w:val="22"/>
          <w:szCs w:val="22"/>
        </w:rPr>
        <w:t xml:space="preserve">: “Mi Nueva Escuela”; Programa Mejora de la Calidad y Cobertura Educativa: Nacer, Crecer y Aprender Juntos: Desarrollo Integral de la Primera Infancia, fondos destinados hacia el desarrollo de la Educación </w:t>
      </w:r>
      <w:proofErr w:type="spellStart"/>
      <w:r w:rsidRPr="009B6C0B">
        <w:rPr>
          <w:rFonts w:ascii="Museo Sans 300" w:eastAsia="Museo Sans 300" w:hAnsi="Museo Sans 300" w:cs="Museo Sans 300"/>
          <w:color w:val="000000"/>
          <w:sz w:val="22"/>
          <w:szCs w:val="22"/>
        </w:rPr>
        <w:t>Parvularia</w:t>
      </w:r>
      <w:proofErr w:type="spellEnd"/>
      <w:r w:rsidRPr="009B6C0B">
        <w:rPr>
          <w:rFonts w:ascii="Museo Sans 300" w:eastAsia="Museo Sans 300" w:hAnsi="Museo Sans 300" w:cs="Museo Sans 300"/>
          <w:color w:val="000000"/>
          <w:sz w:val="22"/>
          <w:szCs w:val="22"/>
        </w:rPr>
        <w:t>, media y básica, Seguridad Hídrica</w:t>
      </w:r>
      <w:r w:rsidR="00CB6E90" w:rsidRPr="009B6C0B">
        <w:rPr>
          <w:rFonts w:ascii="Museo Sans 300" w:eastAsia="Museo Sans 300" w:hAnsi="Museo Sans 300" w:cs="Museo Sans 300"/>
          <w:sz w:val="22"/>
          <w:szCs w:val="22"/>
        </w:rPr>
        <w:t xml:space="preserve">, </w:t>
      </w:r>
      <w:r w:rsidR="00CB6E90" w:rsidRPr="009B6C0B">
        <w:rPr>
          <w:rFonts w:ascii="Museo Sans 300" w:eastAsia="Museo Sans 300" w:hAnsi="Museo Sans 300" w:cs="Museo Sans 300"/>
          <w:color w:val="000000"/>
          <w:sz w:val="22"/>
          <w:szCs w:val="22"/>
        </w:rPr>
        <w:t>proyecto “Dos Escuelas por Día”, entre otros.</w:t>
      </w:r>
    </w:p>
    <w:p w14:paraId="1CA9332D" w14:textId="77777777" w:rsidR="00A747DD" w:rsidRPr="009B6C0B" w:rsidRDefault="00255E85" w:rsidP="00D0041A">
      <w:pPr>
        <w:spacing w:before="240" w:line="276" w:lineRule="auto"/>
        <w:rPr>
          <w:rFonts w:ascii="Museo Sans 300" w:eastAsia="Museo Sans 300" w:hAnsi="Museo Sans 300" w:cs="Museo Sans 300"/>
          <w:i/>
          <w:iCs/>
          <w:sz w:val="22"/>
          <w:szCs w:val="22"/>
        </w:rPr>
      </w:pPr>
      <w:r w:rsidRPr="009B6C0B">
        <w:rPr>
          <w:rFonts w:ascii="Museo Sans 300" w:eastAsia="Museo Sans 300" w:hAnsi="Museo Sans 300" w:cs="Museo Sans 300"/>
          <w:i/>
          <w:iCs/>
          <w:sz w:val="22"/>
          <w:szCs w:val="22"/>
        </w:rPr>
        <w:t>Gráfico 6: Inversión Pública a diciembre 2020 -2025</w:t>
      </w:r>
    </w:p>
    <w:p w14:paraId="221CF4EE" w14:textId="77777777" w:rsidR="00E35F4B" w:rsidRPr="009B6C0B" w:rsidRDefault="00E35F4B" w:rsidP="00D0041A">
      <w:pPr>
        <w:spacing w:line="276" w:lineRule="auto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  <w:r w:rsidRPr="009B6C0B">
        <w:rPr>
          <w:rFonts w:ascii="Museo Sans 300" w:hAnsi="Museo Sans 300"/>
          <w:noProof/>
        </w:rPr>
        <w:drawing>
          <wp:inline distT="0" distB="0" distL="0" distR="0" wp14:anchorId="24AAC56C" wp14:editId="79FF28EE">
            <wp:extent cx="5614670" cy="2426677"/>
            <wp:effectExtent l="0" t="0" r="5080" b="0"/>
            <wp:docPr id="30" name="Gráfico 3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C00-00005B36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BED0F0C" w14:textId="2FD4AF63" w:rsidR="00A747DD" w:rsidRPr="009B6C0B" w:rsidRDefault="00255E8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2"/>
        <w:jc w:val="both"/>
        <w:rPr>
          <w:rFonts w:ascii="Museo Sans 300" w:eastAsia="Museo Sans 300" w:hAnsi="Museo Sans 300" w:cs="Museo Sans 300"/>
          <w:color w:val="000000"/>
          <w:sz w:val="18"/>
          <w:szCs w:val="18"/>
        </w:rPr>
      </w:pPr>
      <w:r w:rsidRPr="009B6C0B">
        <w:rPr>
          <w:rFonts w:ascii="Museo Sans 300" w:eastAsia="Museo Sans 300" w:hAnsi="Museo Sans 300" w:cs="Museo Sans 300"/>
          <w:color w:val="000000"/>
          <w:sz w:val="18"/>
          <w:szCs w:val="18"/>
        </w:rPr>
        <w:t>Fuente: Ministerio de Hacienda</w:t>
      </w:r>
    </w:p>
    <w:p w14:paraId="60672F3A" w14:textId="77777777" w:rsidR="00A747DD" w:rsidRPr="009B6C0B" w:rsidRDefault="00A747D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2"/>
        <w:jc w:val="both"/>
        <w:rPr>
          <w:rFonts w:ascii="Museo Sans 300" w:eastAsia="Museo Sans 300" w:hAnsi="Museo Sans 300" w:cs="Museo Sans 300"/>
          <w:color w:val="000000"/>
          <w:sz w:val="22"/>
          <w:szCs w:val="22"/>
        </w:rPr>
      </w:pPr>
    </w:p>
    <w:p w14:paraId="718BA52D" w14:textId="77777777" w:rsidR="00A747DD" w:rsidRPr="009B6C0B" w:rsidRDefault="00255E8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2"/>
        <w:jc w:val="both"/>
        <w:rPr>
          <w:rFonts w:ascii="Museo Sans 300" w:eastAsia="Museo Sans 300" w:hAnsi="Museo Sans 300" w:cs="Museo Sans 300"/>
          <w:color w:val="0000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color w:val="000000"/>
          <w:sz w:val="22"/>
          <w:szCs w:val="22"/>
        </w:rPr>
        <w:t>A nivel de subsectores, el Gobierno Central Consolidado ejecutó el mayor porcentaje siendo un 84.8% ($1,331.6 millones) del total; Resto del Gobierno General, 4.6% ($72.9 millones) y las Empresas Públicas ejecutaron un 10.5% ($165.2 millones) del total, destacando la ejecución de las instituciones de DOM, FOVIAL, MINEDUCYT, MINSAL, MOP y CEPA.</w:t>
      </w:r>
    </w:p>
    <w:p w14:paraId="154C98C6" w14:textId="77777777" w:rsidR="00A747DD" w:rsidRPr="009B6C0B" w:rsidRDefault="00A747D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2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368DAD49" w14:textId="10E84667" w:rsidR="00A747DD" w:rsidRPr="009B6C0B" w:rsidRDefault="00FC74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2"/>
        <w:jc w:val="both"/>
        <w:rPr>
          <w:rFonts w:ascii="Museo Sans 300" w:eastAsia="Museo Sans 300" w:hAnsi="Museo Sans 300" w:cs="Museo Sans 300"/>
          <w:b/>
          <w:sz w:val="22"/>
          <w:szCs w:val="22"/>
        </w:rPr>
      </w:pPr>
      <w:r>
        <w:rPr>
          <w:rFonts w:ascii="Museo Sans 300" w:eastAsia="Museo Sans 300" w:hAnsi="Museo Sans 300" w:cs="Museo Sans 300"/>
          <w:b/>
          <w:sz w:val="22"/>
          <w:szCs w:val="22"/>
        </w:rPr>
        <w:t xml:space="preserve">Cuadro 1: Resumen </w:t>
      </w:r>
      <w:r w:rsidR="00DA3481">
        <w:rPr>
          <w:rFonts w:ascii="Museo Sans 300" w:eastAsia="Museo Sans 300" w:hAnsi="Museo Sans 300" w:cs="Museo Sans 300"/>
          <w:b/>
          <w:sz w:val="22"/>
          <w:szCs w:val="22"/>
        </w:rPr>
        <w:t xml:space="preserve">De </w:t>
      </w:r>
      <w:r w:rsidR="00255E85" w:rsidRPr="009B6C0B">
        <w:rPr>
          <w:rFonts w:ascii="Museo Sans 300" w:eastAsia="Museo Sans 300" w:hAnsi="Museo Sans 300" w:cs="Museo Sans 300"/>
          <w:b/>
          <w:sz w:val="22"/>
          <w:szCs w:val="22"/>
        </w:rPr>
        <w:t>Inversión</w:t>
      </w:r>
      <w:r>
        <w:rPr>
          <w:rFonts w:ascii="Museo Sans 300" w:eastAsia="Museo Sans 300" w:hAnsi="Museo Sans 300" w:cs="Museo Sans 300"/>
          <w:b/>
          <w:sz w:val="22"/>
          <w:szCs w:val="22"/>
        </w:rPr>
        <w:t xml:space="preserve"> Pública</w:t>
      </w:r>
      <w:r w:rsidR="00255E85" w:rsidRPr="009B6C0B">
        <w:rPr>
          <w:rFonts w:ascii="Museo Sans 300" w:eastAsia="Museo Sans 300" w:hAnsi="Museo Sans 300" w:cs="Museo Sans 300"/>
          <w:b/>
          <w:sz w:val="22"/>
          <w:szCs w:val="22"/>
        </w:rPr>
        <w:t xml:space="preserve"> </w:t>
      </w:r>
      <w:r w:rsidR="00DA3481">
        <w:rPr>
          <w:rFonts w:ascii="Museo Sans 300" w:eastAsia="Museo Sans 300" w:hAnsi="Museo Sans 300" w:cs="Museo Sans 300"/>
          <w:b/>
          <w:sz w:val="22"/>
          <w:szCs w:val="22"/>
        </w:rPr>
        <w:t>Por Cartera</w:t>
      </w:r>
      <w:r>
        <w:rPr>
          <w:rFonts w:ascii="Museo Sans 300" w:eastAsia="Museo Sans 300" w:hAnsi="Museo Sans 300" w:cs="Museo Sans 300"/>
          <w:b/>
          <w:sz w:val="22"/>
          <w:szCs w:val="22"/>
        </w:rPr>
        <w:t xml:space="preserve"> </w:t>
      </w:r>
    </w:p>
    <w:p w14:paraId="743D9CB0" w14:textId="5335F9A2" w:rsidR="00A747DD" w:rsidRDefault="00A747D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2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32"/>
      </w:tblGrid>
      <w:tr w:rsidR="00FC747B" w:rsidRPr="002640DC" w14:paraId="63835097" w14:textId="77777777" w:rsidTr="008F3496">
        <w:trPr>
          <w:cantSplit/>
        </w:trPr>
        <w:tc>
          <w:tcPr>
            <w:tcW w:w="8832" w:type="dxa"/>
          </w:tcPr>
          <w:p w14:paraId="680A52A3" w14:textId="372B80CF" w:rsidR="00FC747B" w:rsidRPr="002640DC" w:rsidRDefault="00FC747B" w:rsidP="002C0F31">
            <w:pPr>
              <w:jc w:val="both"/>
              <w:rPr>
                <w:rFonts w:ascii="Museo Sans 300" w:eastAsia="Museo Sans 100" w:hAnsi="Museo Sans 300" w:cs="Museo Sans 100"/>
                <w:b/>
                <w:bCs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b/>
                <w:bCs/>
                <w:szCs w:val="22"/>
              </w:rPr>
              <w:t xml:space="preserve">MINSAL: </w:t>
            </w:r>
          </w:p>
          <w:p w14:paraId="69756EAF" w14:textId="77777777" w:rsidR="00FC747B" w:rsidRPr="002640DC" w:rsidRDefault="00FC747B" w:rsidP="0070536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>Programa Creciendo Saludables Juntos: Desarrollo Integral de la Primera Infancia en El Salvador.</w:t>
            </w:r>
          </w:p>
          <w:p w14:paraId="087AA11B" w14:textId="3DF0B06A" w:rsidR="002C0F31" w:rsidRPr="002640DC" w:rsidRDefault="00575954" w:rsidP="0070536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2640DC">
              <w:rPr>
                <w:rFonts w:ascii="Museo Sans 300" w:hAnsi="Museo Sans 300"/>
                <w:color w:val="000000"/>
                <w:szCs w:val="22"/>
              </w:rPr>
              <w:t>Programa de Salud Inteligente e Integral.</w:t>
            </w:r>
          </w:p>
        </w:tc>
      </w:tr>
      <w:tr w:rsidR="00FC747B" w:rsidRPr="002640DC" w14:paraId="7F61DF8E" w14:textId="77777777" w:rsidTr="008F3496">
        <w:trPr>
          <w:cantSplit/>
        </w:trPr>
        <w:tc>
          <w:tcPr>
            <w:tcW w:w="8832" w:type="dxa"/>
          </w:tcPr>
          <w:p w14:paraId="6CF04B29" w14:textId="77777777" w:rsidR="00FC747B" w:rsidRPr="002640DC" w:rsidRDefault="00FC747B" w:rsidP="0070536E">
            <w:pPr>
              <w:jc w:val="both"/>
              <w:rPr>
                <w:rFonts w:ascii="Museo Sans 300" w:eastAsia="Museo Sans 100" w:hAnsi="Museo Sans 300" w:cs="Museo Sans 100"/>
                <w:b/>
                <w:bCs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b/>
                <w:bCs/>
                <w:szCs w:val="22"/>
              </w:rPr>
              <w:t>MITUR:</w:t>
            </w:r>
          </w:p>
          <w:p w14:paraId="3FB78B25" w14:textId="66A8B889" w:rsidR="00FC747B" w:rsidRPr="002640DC" w:rsidRDefault="00FC747B" w:rsidP="0070536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>Programa de Apoyo a la Recuperación y Expansión del Sector Turismo en El Salvador.</w:t>
            </w:r>
          </w:p>
        </w:tc>
      </w:tr>
      <w:tr w:rsidR="00FC747B" w:rsidRPr="002640DC" w14:paraId="359DE25F" w14:textId="77777777" w:rsidTr="008F3496">
        <w:trPr>
          <w:cantSplit/>
        </w:trPr>
        <w:tc>
          <w:tcPr>
            <w:tcW w:w="8832" w:type="dxa"/>
          </w:tcPr>
          <w:p w14:paraId="74FEC374" w14:textId="77777777" w:rsidR="00FC747B" w:rsidRPr="002640DC" w:rsidRDefault="00FC747B" w:rsidP="0070536E">
            <w:pPr>
              <w:ind w:left="360"/>
              <w:jc w:val="both"/>
              <w:rPr>
                <w:rFonts w:ascii="Museo Sans 300" w:eastAsia="Museo Sans 100" w:hAnsi="Museo Sans 300" w:cs="Museo Sans 100"/>
                <w:b/>
                <w:bCs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b/>
                <w:bCs/>
                <w:szCs w:val="22"/>
              </w:rPr>
              <w:t xml:space="preserve">ISTU: </w:t>
            </w:r>
          </w:p>
          <w:p w14:paraId="68CA57F9" w14:textId="093C4C97" w:rsidR="00FC747B" w:rsidRPr="002640DC" w:rsidRDefault="00FC747B" w:rsidP="0070536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>Mejoramiento y acondicionamiento del Centro Recreativo Club Costa del Sol</w:t>
            </w:r>
            <w:r w:rsidR="002C0F31"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>.</w:t>
            </w:r>
          </w:p>
        </w:tc>
      </w:tr>
      <w:tr w:rsidR="00FC747B" w:rsidRPr="002640DC" w14:paraId="3BCA0F20" w14:textId="77777777" w:rsidTr="008F3496">
        <w:trPr>
          <w:cantSplit/>
        </w:trPr>
        <w:tc>
          <w:tcPr>
            <w:tcW w:w="8832" w:type="dxa"/>
          </w:tcPr>
          <w:p w14:paraId="0FDE6B94" w14:textId="77777777" w:rsidR="00FC747B" w:rsidRPr="002640DC" w:rsidRDefault="00FC747B" w:rsidP="0070536E">
            <w:pPr>
              <w:jc w:val="both"/>
              <w:rPr>
                <w:rFonts w:ascii="Museo Sans 300" w:eastAsia="Museo Sans 100" w:hAnsi="Museo Sans 300" w:cs="Museo Sans 100"/>
                <w:b/>
                <w:bCs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b/>
                <w:bCs/>
                <w:szCs w:val="22"/>
              </w:rPr>
              <w:t xml:space="preserve">DOM: </w:t>
            </w:r>
          </w:p>
          <w:p w14:paraId="62D1C1D0" w14:textId="77777777" w:rsidR="00FC747B" w:rsidRPr="002640DC" w:rsidRDefault="00FC747B" w:rsidP="0070536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>Programa de Obras Municipales para infraestructuras diversas a nivel nacional, año 2025,</w:t>
            </w:r>
          </w:p>
          <w:p w14:paraId="2405397B" w14:textId="77777777" w:rsidR="00FC747B" w:rsidRPr="002640DC" w:rsidRDefault="00FC747B" w:rsidP="0070536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>Programa de Obras Municipales para Infraestructura Vial a nivel nacional, año 2025,</w:t>
            </w:r>
          </w:p>
          <w:p w14:paraId="777AF341" w14:textId="77777777" w:rsidR="00FC747B" w:rsidRPr="002640DC" w:rsidRDefault="00FC747B" w:rsidP="0070536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Programa de Obras Municipales para Infraestructura y Equipamiento de Centros Educativos a nivel nacional, año 2025, </w:t>
            </w:r>
          </w:p>
          <w:p w14:paraId="0502141B" w14:textId="71460BD6" w:rsidR="00FC747B" w:rsidRPr="002640DC" w:rsidRDefault="00FC747B" w:rsidP="0070536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Programa de mejora de la calidad y expansión de la oferta de Educación </w:t>
            </w:r>
            <w:proofErr w:type="spellStart"/>
            <w:r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>Parvularia</w:t>
            </w:r>
            <w:proofErr w:type="spellEnd"/>
            <w:r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 y Centros de Desarrollo Infantil.</w:t>
            </w:r>
          </w:p>
        </w:tc>
      </w:tr>
      <w:tr w:rsidR="00FC747B" w:rsidRPr="002640DC" w14:paraId="5BCA60EA" w14:textId="77777777" w:rsidTr="008F3496">
        <w:trPr>
          <w:cantSplit/>
        </w:trPr>
        <w:tc>
          <w:tcPr>
            <w:tcW w:w="8832" w:type="dxa"/>
          </w:tcPr>
          <w:p w14:paraId="47943FE7" w14:textId="77777777" w:rsidR="00FC747B" w:rsidRPr="002640DC" w:rsidRDefault="00FC747B" w:rsidP="0070536E">
            <w:pPr>
              <w:jc w:val="both"/>
              <w:rPr>
                <w:rFonts w:ascii="Museo Sans 300" w:eastAsia="Museo Sans 100" w:hAnsi="Museo Sans 300" w:cs="Museo Sans 100"/>
                <w:b/>
                <w:bCs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b/>
                <w:bCs/>
                <w:szCs w:val="22"/>
              </w:rPr>
              <w:lastRenderedPageBreak/>
              <w:t xml:space="preserve">CEPA: </w:t>
            </w:r>
          </w:p>
          <w:p w14:paraId="1D646327" w14:textId="77777777" w:rsidR="00FC747B" w:rsidRPr="002640DC" w:rsidRDefault="00FC747B" w:rsidP="0070536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Construcción y Equipamiento del Aeropuerto Internacional del Pacífico, Departamento de La Unión, </w:t>
            </w:r>
          </w:p>
          <w:p w14:paraId="2F3C87AA" w14:textId="77777777" w:rsidR="00FC747B" w:rsidRPr="002640DC" w:rsidRDefault="00FC747B" w:rsidP="0070536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Construcción y Equipamiento del Área de Bandas de Equipaje Llegadas del Edificio Terminal de Pasajeros del AIES – SOARGA, </w:t>
            </w:r>
          </w:p>
          <w:p w14:paraId="51B304C2" w14:textId="4AD211CA" w:rsidR="00FC747B" w:rsidRPr="002640DC" w:rsidRDefault="00FC747B" w:rsidP="0070536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Ampliación del área de registro de pasajeros del Aeropuerto Internacional de El Salvador, San Óscar Arnulfo Romero y Galdámez, </w:t>
            </w:r>
          </w:p>
        </w:tc>
      </w:tr>
      <w:tr w:rsidR="00FC747B" w:rsidRPr="002640DC" w14:paraId="34784899" w14:textId="77777777" w:rsidTr="008F3496">
        <w:trPr>
          <w:cantSplit/>
        </w:trPr>
        <w:tc>
          <w:tcPr>
            <w:tcW w:w="8832" w:type="dxa"/>
          </w:tcPr>
          <w:p w14:paraId="656EBDE2" w14:textId="77777777" w:rsidR="00FC747B" w:rsidRPr="002640DC" w:rsidRDefault="00FC747B" w:rsidP="0070536E">
            <w:pPr>
              <w:jc w:val="both"/>
              <w:rPr>
                <w:rFonts w:ascii="Museo Sans 300" w:eastAsia="Museo Sans 100" w:hAnsi="Museo Sans 300" w:cs="Museo Sans 100"/>
                <w:b/>
                <w:bCs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b/>
                <w:bCs/>
                <w:szCs w:val="22"/>
              </w:rPr>
              <w:t xml:space="preserve">MINEDUCYT: </w:t>
            </w:r>
          </w:p>
          <w:p w14:paraId="6477625D" w14:textId="77777777" w:rsidR="00FC747B" w:rsidRPr="002640DC" w:rsidRDefault="00FC747B" w:rsidP="0070536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Programa de Reducción de Brecha Digital en Centros Escolares de El Salvador, </w:t>
            </w:r>
          </w:p>
          <w:p w14:paraId="53056CC4" w14:textId="77777777" w:rsidR="00FC747B" w:rsidRPr="002640DC" w:rsidRDefault="00FC747B" w:rsidP="0070536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Programa de mejoramiento de ambientes educativos para la formación integral y aprendizajes, a nivel nacional, </w:t>
            </w:r>
          </w:p>
          <w:p w14:paraId="122A7306" w14:textId="77777777" w:rsidR="00FC747B" w:rsidRPr="002640DC" w:rsidRDefault="00FC747B" w:rsidP="0070536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 Programa "Mi Nueva Escuela" de El Salvador,</w:t>
            </w:r>
            <w:r w:rsidRPr="002640DC">
              <w:rPr>
                <w:rFonts w:ascii="Museo Sans 300" w:hAnsi="Museo Sans 300"/>
                <w:color w:val="000000"/>
              </w:rPr>
              <w:t xml:space="preserve"> </w:t>
            </w:r>
          </w:p>
          <w:p w14:paraId="018B5C2A" w14:textId="77777777" w:rsidR="00FC747B" w:rsidRPr="002640DC" w:rsidRDefault="00FC747B" w:rsidP="0070536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Programa Crecer y Aprender Juntos: Desarrollo Integral de la Primera Infancia en El Salvador, </w:t>
            </w:r>
          </w:p>
          <w:p w14:paraId="7DF4D40F" w14:textId="1AF3738A" w:rsidR="00FC747B" w:rsidRPr="002640DC" w:rsidRDefault="00FC747B" w:rsidP="0070536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Programa de Mejora de la Calidad y Cobertura Educativa: Nacer, Crecer, Aprender. </w:t>
            </w:r>
          </w:p>
        </w:tc>
      </w:tr>
      <w:tr w:rsidR="00FC747B" w:rsidRPr="002640DC" w14:paraId="7CF722A5" w14:textId="77777777" w:rsidTr="008F3496">
        <w:trPr>
          <w:cantSplit/>
        </w:trPr>
        <w:tc>
          <w:tcPr>
            <w:tcW w:w="8832" w:type="dxa"/>
          </w:tcPr>
          <w:p w14:paraId="4C045D62" w14:textId="77777777" w:rsidR="00FC747B" w:rsidRPr="002640DC" w:rsidRDefault="00FC747B" w:rsidP="0070536E">
            <w:pPr>
              <w:jc w:val="both"/>
              <w:rPr>
                <w:rFonts w:ascii="Museo Sans 300" w:eastAsia="Museo Sans 100" w:hAnsi="Museo Sans 300" w:cs="Museo Sans 100"/>
                <w:b/>
                <w:bCs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b/>
                <w:bCs/>
                <w:szCs w:val="22"/>
              </w:rPr>
              <w:t xml:space="preserve">FOVIAL: </w:t>
            </w:r>
          </w:p>
          <w:p w14:paraId="5E7F6446" w14:textId="77777777" w:rsidR="00FC747B" w:rsidRPr="002640DC" w:rsidRDefault="00FC747B" w:rsidP="0070536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Programa de Inversiones Adicionales al Mantenimiento, </w:t>
            </w:r>
          </w:p>
          <w:p w14:paraId="5836ABF1" w14:textId="7926D6AF" w:rsidR="00FC747B" w:rsidRPr="002640DC" w:rsidRDefault="00FC747B" w:rsidP="0070536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>Programa de Mantenimiento Rutinario de Vías Pavimentadas a Nivel Nacional 2025</w:t>
            </w:r>
            <w:r w:rsidR="002C0F31"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>.</w:t>
            </w:r>
          </w:p>
          <w:p w14:paraId="446F2693" w14:textId="77777777" w:rsidR="00FC747B" w:rsidRPr="002640DC" w:rsidRDefault="00FC747B" w:rsidP="0070536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>Programa de Mantenimiento Periódico 2024.</w:t>
            </w:r>
          </w:p>
          <w:p w14:paraId="0585E6E2" w14:textId="533B42EA" w:rsidR="00FC747B" w:rsidRPr="002640DC" w:rsidRDefault="00FC747B" w:rsidP="0070536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>Programa de Mantenimiento Rutinario de Vías Pavimentadas a Nivel Nacional 2024</w:t>
            </w:r>
            <w:r w:rsidR="002C0F31"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>.</w:t>
            </w:r>
          </w:p>
        </w:tc>
      </w:tr>
      <w:tr w:rsidR="00FC747B" w:rsidRPr="002640DC" w14:paraId="02DF91AC" w14:textId="77777777" w:rsidTr="008F3496">
        <w:trPr>
          <w:cantSplit/>
        </w:trPr>
        <w:tc>
          <w:tcPr>
            <w:tcW w:w="8832" w:type="dxa"/>
          </w:tcPr>
          <w:p w14:paraId="6D08068B" w14:textId="77777777" w:rsidR="00FC747B" w:rsidRPr="002640DC" w:rsidRDefault="00FC747B" w:rsidP="0070536E">
            <w:pPr>
              <w:jc w:val="both"/>
              <w:rPr>
                <w:rFonts w:ascii="Museo Sans 300" w:eastAsia="Museo Sans 100" w:hAnsi="Museo Sans 300" w:cs="Museo Sans 100"/>
                <w:b/>
                <w:bCs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b/>
                <w:bCs/>
                <w:szCs w:val="22"/>
              </w:rPr>
              <w:t xml:space="preserve">MOP: </w:t>
            </w:r>
          </w:p>
          <w:p w14:paraId="67F004F2" w14:textId="3CF84619" w:rsidR="00FC747B" w:rsidRPr="002640DC" w:rsidRDefault="00FC747B" w:rsidP="0070536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i/>
                <w:iCs/>
                <w:color w:val="000000"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>Construcción de Viaducto y Ampliación de Carretera CA01W (Tramo Los Chorros), entre Autopista Monseñor Romero y CA01W</w:t>
            </w:r>
            <w:r w:rsidR="002C0F31"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>.</w:t>
            </w:r>
            <w:r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 </w:t>
            </w:r>
          </w:p>
          <w:p w14:paraId="7DFA9AE4" w14:textId="2BA3E7EE" w:rsidR="00FC747B" w:rsidRPr="002640DC" w:rsidRDefault="00FC747B" w:rsidP="0070536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>Construcción y Equipamiento de sistema de transporte público por cable aéreo: Línea 2, distritos de Mejicanos</w:t>
            </w:r>
            <w:r w:rsidR="002C0F31"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>.</w:t>
            </w:r>
          </w:p>
          <w:p w14:paraId="12151B03" w14:textId="4415B9C0" w:rsidR="00FC747B" w:rsidRPr="002640DC" w:rsidRDefault="00FC747B" w:rsidP="0070536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>Construcción y Mejoramiento de Centros Educativos en distritos priorizados, a nivel nacional.</w:t>
            </w:r>
            <w:r w:rsidR="008F3496"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 xml:space="preserve"> </w:t>
            </w:r>
          </w:p>
          <w:p w14:paraId="2FF91D23" w14:textId="3AF9CA24" w:rsidR="00FC747B" w:rsidRPr="002640DC" w:rsidRDefault="00FC747B" w:rsidP="0070536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Museo Sans 300" w:hAnsi="Museo Sans 300"/>
                <w:color w:val="000000"/>
                <w:szCs w:val="22"/>
              </w:rPr>
            </w:pPr>
            <w:r w:rsidRPr="002640DC">
              <w:rPr>
                <w:rFonts w:ascii="Museo Sans 300" w:eastAsia="Museo Sans 100" w:hAnsi="Museo Sans 300" w:cs="Museo Sans 100"/>
                <w:color w:val="000000"/>
                <w:szCs w:val="22"/>
              </w:rPr>
              <w:t>Suministro e instalación de luminarias con tecnología LED en tramos priorizados de la red vial, a nivel nacional.</w:t>
            </w:r>
          </w:p>
        </w:tc>
      </w:tr>
    </w:tbl>
    <w:p w14:paraId="58B694A4" w14:textId="77777777" w:rsidR="00FC747B" w:rsidRPr="009B6C0B" w:rsidRDefault="00FC74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2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3AE8EC6E" w14:textId="702D1633" w:rsidR="00A747DD" w:rsidRPr="009B6C0B" w:rsidRDefault="00255E85" w:rsidP="009B6C0B">
      <w:pPr>
        <w:pStyle w:val="Ttulo4"/>
        <w:spacing w:line="360" w:lineRule="auto"/>
        <w:rPr>
          <w:rFonts w:ascii="Museo Sans 300" w:eastAsia="Museo Sans 300" w:hAnsi="Museo Sans 300" w:cs="Museo Sans 300"/>
          <w:i w:val="0"/>
          <w:iCs w:val="0"/>
        </w:rPr>
      </w:pPr>
      <w:r w:rsidRPr="009B6C0B">
        <w:rPr>
          <w:rFonts w:ascii="Museo Sans 300" w:eastAsia="Museo Sans 300" w:hAnsi="Museo Sans 300" w:cs="Museo Sans 300"/>
        </w:rPr>
        <w:t>Inversión por Sectores de Actividad</w:t>
      </w:r>
    </w:p>
    <w:p w14:paraId="3E9AC1CF" w14:textId="4E47A50F" w:rsidR="009B6C0B" w:rsidRPr="009B6C0B" w:rsidRDefault="00255E85" w:rsidP="009B6C0B">
      <w:pPr>
        <w:spacing w:after="240"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Por sectores de actividad, la inversión </w:t>
      </w:r>
      <w:r w:rsidRPr="009B6C0B">
        <w:rPr>
          <w:rFonts w:ascii="Museo Sans 300" w:eastAsia="Museo Sans 300" w:hAnsi="Museo Sans 300" w:cs="Museo Sans 300"/>
          <w:b/>
          <w:bCs/>
          <w:sz w:val="22"/>
          <w:szCs w:val="22"/>
        </w:rPr>
        <w:t>en el sector Desarrollo Económico</w:t>
      </w:r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 ejecutó un total de $496.5 millones, con una participación de 31.6% de la inversión total, destacando los recursos destinados al subsector de Transporte y Almacenaje con $443.0 millones con una participación del 28.2%, entre otros, tal como se muestra en la tabla No. 3.</w:t>
      </w:r>
    </w:p>
    <w:p w14:paraId="4653DA8F" w14:textId="77777777" w:rsidR="00A747DD" w:rsidRPr="00A23FAA" w:rsidRDefault="00255E85" w:rsidP="009B6C0B">
      <w:pPr>
        <w:spacing w:line="276" w:lineRule="auto"/>
        <w:rPr>
          <w:rFonts w:ascii="Museo Sans 300" w:eastAsia="Museo Sans 300" w:hAnsi="Museo Sans 300" w:cs="Museo Sans 300"/>
          <w:i/>
          <w:sz w:val="22"/>
          <w:szCs w:val="22"/>
        </w:rPr>
      </w:pPr>
      <w:r w:rsidRPr="00A23FAA">
        <w:rPr>
          <w:rFonts w:ascii="Museo Sans 300" w:eastAsia="Museo Sans 300" w:hAnsi="Museo Sans 300" w:cs="Museo Sans 300"/>
          <w:i/>
          <w:sz w:val="22"/>
          <w:szCs w:val="22"/>
        </w:rPr>
        <w:t>Tabla 3: Inversión Pública a diciembre por sectores a diciembre 2025</w:t>
      </w:r>
    </w:p>
    <w:p w14:paraId="19F47239" w14:textId="1FD210ED" w:rsidR="00A747DD" w:rsidRPr="00A23FAA" w:rsidRDefault="00255E85" w:rsidP="009B6C0B">
      <w:pPr>
        <w:spacing w:after="240" w:line="276" w:lineRule="auto"/>
        <w:rPr>
          <w:rFonts w:ascii="Museo Sans 300" w:eastAsia="Museo Sans 300" w:hAnsi="Museo Sans 300" w:cs="Museo Sans 300"/>
          <w:i/>
          <w:sz w:val="22"/>
          <w:szCs w:val="22"/>
        </w:rPr>
      </w:pPr>
      <w:r w:rsidRPr="00A23FAA">
        <w:rPr>
          <w:rFonts w:ascii="Museo Sans 300" w:eastAsia="Museo Sans 300" w:hAnsi="Museo Sans 300" w:cs="Museo Sans 300"/>
          <w:i/>
          <w:sz w:val="22"/>
          <w:szCs w:val="22"/>
        </w:rPr>
        <w:t>En millones de $ y % de Participación</w:t>
      </w:r>
    </w:p>
    <w:tbl>
      <w:tblPr>
        <w:tblW w:w="8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28"/>
        <w:gridCol w:w="892"/>
        <w:gridCol w:w="1391"/>
        <w:gridCol w:w="1169"/>
      </w:tblGrid>
      <w:tr w:rsidR="009B6C0B" w:rsidRPr="009B6C0B" w14:paraId="6F14BE76" w14:textId="77777777" w:rsidTr="002640DC">
        <w:trPr>
          <w:cantSplit/>
          <w:trHeight w:val="117"/>
          <w:tblHeader/>
        </w:trPr>
        <w:tc>
          <w:tcPr>
            <w:tcW w:w="542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ACBCDD"/>
            <w:noWrap/>
            <w:vAlign w:val="center"/>
            <w:hideMark/>
          </w:tcPr>
          <w:p w14:paraId="51CEB91E" w14:textId="77777777" w:rsidR="00E35F4B" w:rsidRPr="00E35F4B" w:rsidRDefault="00E35F4B" w:rsidP="00E35F4B">
            <w:pPr>
              <w:jc w:val="center"/>
              <w:rPr>
                <w:rFonts w:ascii="Museo Sans 300" w:eastAsia="Times New Roman" w:hAnsi="Museo Sans 300" w:cs="Arial"/>
                <w:b/>
                <w:bCs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b/>
                <w:bCs/>
                <w:sz w:val="14"/>
                <w:lang w:val="es-SV"/>
              </w:rPr>
              <w:t>SECTORES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CBCDD"/>
            <w:vAlign w:val="center"/>
            <w:hideMark/>
          </w:tcPr>
          <w:p w14:paraId="02A08786" w14:textId="77777777" w:rsidR="00E35F4B" w:rsidRPr="00E35F4B" w:rsidRDefault="00E35F4B" w:rsidP="00E35F4B">
            <w:pPr>
              <w:jc w:val="center"/>
              <w:rPr>
                <w:rFonts w:ascii="Museo Sans 300" w:eastAsia="Times New Roman" w:hAnsi="Museo Sans 300" w:cs="Arial"/>
                <w:b/>
                <w:bCs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b/>
                <w:bCs/>
                <w:sz w:val="14"/>
                <w:lang w:val="es-SV"/>
              </w:rPr>
              <w:t xml:space="preserve">TOTAL  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center"/>
            <w:hideMark/>
          </w:tcPr>
          <w:p w14:paraId="637BC810" w14:textId="77777777" w:rsidR="00E35F4B" w:rsidRPr="00E35F4B" w:rsidRDefault="00E35F4B" w:rsidP="00E35F4B">
            <w:pPr>
              <w:jc w:val="center"/>
              <w:rPr>
                <w:rFonts w:ascii="Museo Sans 300" w:eastAsia="Times New Roman" w:hAnsi="Museo Sans 300" w:cs="Arial"/>
                <w:b/>
                <w:bCs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b/>
                <w:bCs/>
                <w:sz w:val="14"/>
                <w:lang w:val="es-SV"/>
              </w:rPr>
              <w:t>%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ACBCDD"/>
            <w:vAlign w:val="center"/>
            <w:hideMark/>
          </w:tcPr>
          <w:p w14:paraId="1EB70A59" w14:textId="77777777" w:rsidR="00E35F4B" w:rsidRPr="00E35F4B" w:rsidRDefault="00E35F4B" w:rsidP="00E35F4B">
            <w:pPr>
              <w:jc w:val="center"/>
              <w:rPr>
                <w:rFonts w:ascii="Museo Sans 300" w:eastAsia="Times New Roman" w:hAnsi="Museo Sans 300" w:cs="Arial"/>
                <w:b/>
                <w:bCs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b/>
                <w:bCs/>
                <w:sz w:val="14"/>
                <w:lang w:val="es-SV"/>
              </w:rPr>
              <w:t>% por subsector</w:t>
            </w:r>
          </w:p>
        </w:tc>
      </w:tr>
      <w:tr w:rsidR="009B6C0B" w:rsidRPr="009B6C0B" w14:paraId="26206B8D" w14:textId="77777777" w:rsidTr="002640DC">
        <w:trPr>
          <w:cantSplit/>
          <w:trHeight w:val="183"/>
        </w:trPr>
        <w:tc>
          <w:tcPr>
            <w:tcW w:w="5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DBB5AC" w14:textId="77777777" w:rsidR="00E35F4B" w:rsidRPr="00E35F4B" w:rsidRDefault="00E35F4B" w:rsidP="00E35F4B">
            <w:pPr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 </w:t>
            </w:r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D54440" w14:textId="77777777" w:rsidR="00E35F4B" w:rsidRPr="00E35F4B" w:rsidRDefault="00E35F4B" w:rsidP="00E35F4B">
            <w:pPr>
              <w:jc w:val="center"/>
              <w:rPr>
                <w:rFonts w:ascii="Museo Sans 300" w:eastAsia="Times New Roman" w:hAnsi="Museo Sans 300" w:cs="Arial"/>
                <w:b/>
                <w:bCs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b/>
                <w:bCs/>
                <w:sz w:val="14"/>
                <w:lang w:val="es-SV"/>
              </w:rPr>
              <w:t> 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A83101" w14:textId="77777777" w:rsidR="00E35F4B" w:rsidRPr="00E35F4B" w:rsidRDefault="00E35F4B" w:rsidP="00E35F4B">
            <w:pPr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 </w:t>
            </w:r>
          </w:p>
        </w:tc>
        <w:tc>
          <w:tcPr>
            <w:tcW w:w="11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6CC077" w14:textId="77777777" w:rsidR="00E35F4B" w:rsidRPr="00E35F4B" w:rsidRDefault="00E35F4B" w:rsidP="00E35F4B">
            <w:pPr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> </w:t>
            </w:r>
          </w:p>
        </w:tc>
      </w:tr>
      <w:tr w:rsidR="009B6C0B" w:rsidRPr="009B6C0B" w14:paraId="4069B811" w14:textId="77777777" w:rsidTr="002640DC">
        <w:trPr>
          <w:cantSplit/>
          <w:trHeight w:val="183"/>
        </w:trPr>
        <w:tc>
          <w:tcPr>
            <w:tcW w:w="542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ACBCDD"/>
            <w:noWrap/>
            <w:vAlign w:val="bottom"/>
            <w:hideMark/>
          </w:tcPr>
          <w:p w14:paraId="44CABD4A" w14:textId="77777777" w:rsidR="00E35F4B" w:rsidRPr="00E35F4B" w:rsidRDefault="00E35F4B" w:rsidP="00E35F4B">
            <w:pPr>
              <w:rPr>
                <w:rFonts w:ascii="Museo Sans 300" w:eastAsia="Times New Roman" w:hAnsi="Museo Sans 300" w:cs="Arial"/>
                <w:b/>
                <w:bCs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b/>
                <w:bCs/>
                <w:sz w:val="14"/>
                <w:lang w:val="es-SV"/>
              </w:rPr>
              <w:t>Desarrollo Económico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CBCDD"/>
            <w:noWrap/>
            <w:vAlign w:val="bottom"/>
            <w:hideMark/>
          </w:tcPr>
          <w:p w14:paraId="30CC9B26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b/>
                <w:bCs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b/>
                <w:bCs/>
                <w:color w:val="000000"/>
                <w:sz w:val="14"/>
                <w:lang w:val="es-SV"/>
              </w:rPr>
              <w:t>496.5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CBCDD"/>
            <w:noWrap/>
            <w:vAlign w:val="bottom"/>
            <w:hideMark/>
          </w:tcPr>
          <w:p w14:paraId="3468BD6C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b/>
                <w:bCs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b/>
                <w:bCs/>
                <w:sz w:val="14"/>
                <w:lang w:val="es-SV"/>
              </w:rPr>
              <w:t>31.6%</w:t>
            </w:r>
          </w:p>
        </w:tc>
        <w:tc>
          <w:tcPr>
            <w:tcW w:w="11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CBCDD"/>
            <w:noWrap/>
            <w:vAlign w:val="bottom"/>
            <w:hideMark/>
          </w:tcPr>
          <w:p w14:paraId="3137B00D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b/>
                <w:bCs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b/>
                <w:bCs/>
                <w:sz w:val="14"/>
                <w:lang w:val="es-SV"/>
              </w:rPr>
              <w:t>100.0%</w:t>
            </w:r>
          </w:p>
        </w:tc>
      </w:tr>
      <w:tr w:rsidR="009B6C0B" w:rsidRPr="009B6C0B" w14:paraId="67A197EE" w14:textId="77777777" w:rsidTr="002640DC">
        <w:trPr>
          <w:cantSplit/>
          <w:trHeight w:val="176"/>
        </w:trPr>
        <w:tc>
          <w:tcPr>
            <w:tcW w:w="542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739BF" w14:textId="77777777" w:rsidR="00E35F4B" w:rsidRPr="00E35F4B" w:rsidRDefault="00E35F4B" w:rsidP="00E35F4B">
            <w:pPr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>Agropecuario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F1880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>12.0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B9E40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0.8%</w:t>
            </w:r>
          </w:p>
        </w:tc>
        <w:tc>
          <w:tcPr>
            <w:tcW w:w="11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D2B620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2.4%</w:t>
            </w:r>
          </w:p>
        </w:tc>
      </w:tr>
      <w:tr w:rsidR="009B6C0B" w:rsidRPr="009B6C0B" w14:paraId="5B7575AE" w14:textId="77777777" w:rsidTr="002640DC">
        <w:trPr>
          <w:cantSplit/>
          <w:trHeight w:val="176"/>
        </w:trPr>
        <w:tc>
          <w:tcPr>
            <w:tcW w:w="542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E690B" w14:textId="77777777" w:rsidR="00E35F4B" w:rsidRPr="00E35F4B" w:rsidRDefault="00E35F4B" w:rsidP="00E35F4B">
            <w:pPr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>Energía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08DD6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>2.5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DFF1D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0.2%</w:t>
            </w:r>
          </w:p>
        </w:tc>
        <w:tc>
          <w:tcPr>
            <w:tcW w:w="11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60FA77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0.5%</w:t>
            </w:r>
          </w:p>
        </w:tc>
      </w:tr>
      <w:tr w:rsidR="009B6C0B" w:rsidRPr="009B6C0B" w14:paraId="2371F0E4" w14:textId="77777777" w:rsidTr="002640DC">
        <w:trPr>
          <w:cantSplit/>
          <w:trHeight w:val="176"/>
        </w:trPr>
        <w:tc>
          <w:tcPr>
            <w:tcW w:w="542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74DE" w14:textId="77777777" w:rsidR="00E35F4B" w:rsidRPr="00E35F4B" w:rsidRDefault="00E35F4B" w:rsidP="00E35F4B">
            <w:pPr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>Transporte y Almacenaje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04EA1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>443.0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3222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28.2%</w:t>
            </w:r>
          </w:p>
        </w:tc>
        <w:tc>
          <w:tcPr>
            <w:tcW w:w="11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F10C4D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89.2%</w:t>
            </w:r>
          </w:p>
        </w:tc>
      </w:tr>
      <w:tr w:rsidR="009B6C0B" w:rsidRPr="009B6C0B" w14:paraId="30D106E5" w14:textId="77777777" w:rsidTr="002640DC">
        <w:trPr>
          <w:cantSplit/>
          <w:trHeight w:val="176"/>
        </w:trPr>
        <w:tc>
          <w:tcPr>
            <w:tcW w:w="542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2BAC" w14:textId="77777777" w:rsidR="00E35F4B" w:rsidRPr="00E35F4B" w:rsidRDefault="00E35F4B" w:rsidP="00E35F4B">
            <w:pPr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>Comunicación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F654F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>14.4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E8342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0.9%</w:t>
            </w:r>
          </w:p>
        </w:tc>
        <w:tc>
          <w:tcPr>
            <w:tcW w:w="11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7E42AF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2.9%</w:t>
            </w:r>
          </w:p>
        </w:tc>
      </w:tr>
      <w:tr w:rsidR="009B6C0B" w:rsidRPr="009B6C0B" w14:paraId="020A7B48" w14:textId="77777777" w:rsidTr="002640DC">
        <w:trPr>
          <w:cantSplit/>
          <w:trHeight w:val="183"/>
        </w:trPr>
        <w:tc>
          <w:tcPr>
            <w:tcW w:w="542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2586E" w14:textId="77777777" w:rsidR="00E35F4B" w:rsidRPr="00E35F4B" w:rsidRDefault="00E35F4B" w:rsidP="00E35F4B">
            <w:pPr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 xml:space="preserve">Industria, Comercio y Turismo 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75A9E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>24.6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C0D09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1.6%</w:t>
            </w:r>
          </w:p>
        </w:tc>
        <w:tc>
          <w:tcPr>
            <w:tcW w:w="11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FCB723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4.9%</w:t>
            </w:r>
          </w:p>
        </w:tc>
      </w:tr>
      <w:tr w:rsidR="009B6C0B" w:rsidRPr="009B6C0B" w14:paraId="7B0B2636" w14:textId="77777777" w:rsidTr="002640DC">
        <w:trPr>
          <w:cantSplit/>
          <w:trHeight w:val="183"/>
        </w:trPr>
        <w:tc>
          <w:tcPr>
            <w:tcW w:w="5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ACBCDD"/>
            <w:noWrap/>
            <w:vAlign w:val="bottom"/>
            <w:hideMark/>
          </w:tcPr>
          <w:p w14:paraId="67282A28" w14:textId="77777777" w:rsidR="00E35F4B" w:rsidRPr="00E35F4B" w:rsidRDefault="00E35F4B" w:rsidP="00E35F4B">
            <w:pPr>
              <w:rPr>
                <w:rFonts w:ascii="Museo Sans 300" w:eastAsia="Times New Roman" w:hAnsi="Museo Sans 300" w:cs="Arial"/>
                <w:b/>
                <w:bCs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b/>
                <w:bCs/>
                <w:color w:val="000000"/>
                <w:sz w:val="14"/>
                <w:lang w:val="es-SV"/>
              </w:rPr>
              <w:t>Desarrollo Social</w:t>
            </w:r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CBCDD"/>
            <w:noWrap/>
            <w:vAlign w:val="bottom"/>
            <w:hideMark/>
          </w:tcPr>
          <w:p w14:paraId="0AE638CC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b/>
                <w:bCs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b/>
                <w:bCs/>
                <w:color w:val="000000"/>
                <w:sz w:val="14"/>
                <w:lang w:val="es-SV"/>
              </w:rPr>
              <w:t>1,032.2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CBCDD"/>
            <w:noWrap/>
            <w:vAlign w:val="bottom"/>
            <w:hideMark/>
          </w:tcPr>
          <w:p w14:paraId="3D1DA2AE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b/>
                <w:bCs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b/>
                <w:bCs/>
                <w:sz w:val="14"/>
                <w:lang w:val="es-SV"/>
              </w:rPr>
              <w:t>65.8%</w:t>
            </w:r>
          </w:p>
        </w:tc>
        <w:tc>
          <w:tcPr>
            <w:tcW w:w="11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CBCDD"/>
            <w:noWrap/>
            <w:vAlign w:val="bottom"/>
            <w:hideMark/>
          </w:tcPr>
          <w:p w14:paraId="34F6CC5F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b/>
                <w:bCs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b/>
                <w:bCs/>
                <w:sz w:val="14"/>
                <w:lang w:val="es-SV"/>
              </w:rPr>
              <w:t>100.0%</w:t>
            </w:r>
          </w:p>
        </w:tc>
      </w:tr>
      <w:tr w:rsidR="009B6C0B" w:rsidRPr="009B6C0B" w14:paraId="306FBD60" w14:textId="77777777" w:rsidTr="002640DC">
        <w:trPr>
          <w:cantSplit/>
          <w:trHeight w:val="176"/>
        </w:trPr>
        <w:tc>
          <w:tcPr>
            <w:tcW w:w="542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5CD51" w14:textId="77777777" w:rsidR="00E35F4B" w:rsidRPr="00E35F4B" w:rsidRDefault="00E35F4B" w:rsidP="00E35F4B">
            <w:pPr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>Agua Potable y Alcantarillado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28540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>11.2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EC696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0.7%</w:t>
            </w:r>
          </w:p>
        </w:tc>
        <w:tc>
          <w:tcPr>
            <w:tcW w:w="11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353644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1.1%</w:t>
            </w:r>
          </w:p>
        </w:tc>
      </w:tr>
      <w:tr w:rsidR="009B6C0B" w:rsidRPr="009B6C0B" w14:paraId="2D07B9AE" w14:textId="77777777" w:rsidTr="002640DC">
        <w:trPr>
          <w:cantSplit/>
          <w:trHeight w:val="176"/>
        </w:trPr>
        <w:tc>
          <w:tcPr>
            <w:tcW w:w="542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0CA37" w14:textId="77777777" w:rsidR="00E35F4B" w:rsidRPr="00E35F4B" w:rsidRDefault="00E35F4B" w:rsidP="00E35F4B">
            <w:pPr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 xml:space="preserve">Previsión Social 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A7E9E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>1.4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836B0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0.1%</w:t>
            </w:r>
          </w:p>
        </w:tc>
        <w:tc>
          <w:tcPr>
            <w:tcW w:w="11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D6B5C3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0.1%</w:t>
            </w:r>
          </w:p>
        </w:tc>
      </w:tr>
      <w:tr w:rsidR="009B6C0B" w:rsidRPr="009B6C0B" w14:paraId="38B6048E" w14:textId="77777777" w:rsidTr="002640DC">
        <w:trPr>
          <w:cantSplit/>
          <w:trHeight w:val="176"/>
        </w:trPr>
        <w:tc>
          <w:tcPr>
            <w:tcW w:w="542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B18C3" w14:textId="77777777" w:rsidR="00E35F4B" w:rsidRPr="00E35F4B" w:rsidRDefault="00E35F4B" w:rsidP="00E35F4B">
            <w:pPr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>Salud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1AE6E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>116.5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D97A3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7.4%</w:t>
            </w:r>
          </w:p>
        </w:tc>
        <w:tc>
          <w:tcPr>
            <w:tcW w:w="11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9F34B6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11.3%</w:t>
            </w:r>
          </w:p>
        </w:tc>
      </w:tr>
      <w:tr w:rsidR="009B6C0B" w:rsidRPr="009B6C0B" w14:paraId="317DA226" w14:textId="77777777" w:rsidTr="002640DC">
        <w:trPr>
          <w:cantSplit/>
          <w:trHeight w:val="176"/>
        </w:trPr>
        <w:tc>
          <w:tcPr>
            <w:tcW w:w="542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99EA4" w14:textId="77777777" w:rsidR="00E35F4B" w:rsidRPr="00E35F4B" w:rsidRDefault="00E35F4B" w:rsidP="00E35F4B">
            <w:pPr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 xml:space="preserve">Educación y Cultura    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7D85C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>328.3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43901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20.9%</w:t>
            </w:r>
          </w:p>
        </w:tc>
        <w:tc>
          <w:tcPr>
            <w:tcW w:w="11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ABD7AB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31.8%</w:t>
            </w:r>
          </w:p>
        </w:tc>
      </w:tr>
      <w:tr w:rsidR="009B6C0B" w:rsidRPr="009B6C0B" w14:paraId="6385845A" w14:textId="77777777" w:rsidTr="002640DC">
        <w:trPr>
          <w:cantSplit/>
          <w:trHeight w:val="176"/>
        </w:trPr>
        <w:tc>
          <w:tcPr>
            <w:tcW w:w="542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25C47" w14:textId="77777777" w:rsidR="00E35F4B" w:rsidRPr="00E35F4B" w:rsidRDefault="00E35F4B" w:rsidP="00E35F4B">
            <w:pPr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 xml:space="preserve">Deporte y Recreación 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AECC8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>5.5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A7817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0.4%</w:t>
            </w:r>
          </w:p>
        </w:tc>
        <w:tc>
          <w:tcPr>
            <w:tcW w:w="11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1DF67A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0.5%</w:t>
            </w:r>
          </w:p>
        </w:tc>
      </w:tr>
      <w:tr w:rsidR="009B6C0B" w:rsidRPr="009B6C0B" w14:paraId="654E59B8" w14:textId="77777777" w:rsidTr="002640DC">
        <w:trPr>
          <w:cantSplit/>
          <w:trHeight w:val="176"/>
        </w:trPr>
        <w:tc>
          <w:tcPr>
            <w:tcW w:w="542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36F54" w14:textId="77777777" w:rsidR="00E35F4B" w:rsidRPr="00E35F4B" w:rsidRDefault="00E35F4B" w:rsidP="00E35F4B">
            <w:pPr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>Asistencia Social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29BF2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>6.2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54FC1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0.4%</w:t>
            </w:r>
          </w:p>
        </w:tc>
        <w:tc>
          <w:tcPr>
            <w:tcW w:w="11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B18BD5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0.6%</w:t>
            </w:r>
          </w:p>
        </w:tc>
      </w:tr>
      <w:tr w:rsidR="009B6C0B" w:rsidRPr="009B6C0B" w14:paraId="6EE0EDBB" w14:textId="77777777" w:rsidTr="002640DC">
        <w:trPr>
          <w:cantSplit/>
          <w:trHeight w:val="176"/>
        </w:trPr>
        <w:tc>
          <w:tcPr>
            <w:tcW w:w="542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4E50D" w14:textId="77777777" w:rsidR="00E35F4B" w:rsidRPr="00E35F4B" w:rsidRDefault="00E35F4B" w:rsidP="00E35F4B">
            <w:pPr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lastRenderedPageBreak/>
              <w:t>Desarrollo Urbano y comunal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3EB34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>513.4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30EAB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32.7%</w:t>
            </w:r>
          </w:p>
        </w:tc>
        <w:tc>
          <w:tcPr>
            <w:tcW w:w="11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969BBA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49.7%</w:t>
            </w:r>
          </w:p>
        </w:tc>
      </w:tr>
      <w:tr w:rsidR="009B6C0B" w:rsidRPr="009B6C0B" w14:paraId="7E9F7B6C" w14:textId="77777777" w:rsidTr="002640DC">
        <w:trPr>
          <w:cantSplit/>
          <w:trHeight w:val="176"/>
        </w:trPr>
        <w:tc>
          <w:tcPr>
            <w:tcW w:w="542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D23DB" w14:textId="77777777" w:rsidR="00E35F4B" w:rsidRPr="00E35F4B" w:rsidRDefault="00E35F4B" w:rsidP="00E35F4B">
            <w:pPr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 xml:space="preserve">Medio Ambiente 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56B65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>6.0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5A536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0.4%</w:t>
            </w:r>
          </w:p>
        </w:tc>
        <w:tc>
          <w:tcPr>
            <w:tcW w:w="11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EFBFD7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0.6%</w:t>
            </w:r>
          </w:p>
        </w:tc>
      </w:tr>
      <w:tr w:rsidR="009B6C0B" w:rsidRPr="009B6C0B" w14:paraId="1C834857" w14:textId="77777777" w:rsidTr="002640DC">
        <w:trPr>
          <w:cantSplit/>
          <w:trHeight w:val="176"/>
        </w:trPr>
        <w:tc>
          <w:tcPr>
            <w:tcW w:w="542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EDE70" w14:textId="77777777" w:rsidR="00E35F4B" w:rsidRPr="00E35F4B" w:rsidRDefault="00E35F4B" w:rsidP="00E35F4B">
            <w:pPr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>Vivienda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8406F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>2.8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CC2AF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0.2%</w:t>
            </w:r>
          </w:p>
        </w:tc>
        <w:tc>
          <w:tcPr>
            <w:tcW w:w="11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157DAD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0.3%</w:t>
            </w:r>
          </w:p>
        </w:tc>
      </w:tr>
      <w:tr w:rsidR="009B6C0B" w:rsidRPr="009B6C0B" w14:paraId="1B6D2AF2" w14:textId="77777777" w:rsidTr="002640DC">
        <w:trPr>
          <w:cantSplit/>
          <w:trHeight w:val="183"/>
        </w:trPr>
        <w:tc>
          <w:tcPr>
            <w:tcW w:w="542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AFA0F" w14:textId="77777777" w:rsidR="00E35F4B" w:rsidRPr="00E35F4B" w:rsidRDefault="00E35F4B" w:rsidP="00E35F4B">
            <w:pPr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>Multisectorial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80417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>41.0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1BCE6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2.6%</w:t>
            </w:r>
          </w:p>
        </w:tc>
        <w:tc>
          <w:tcPr>
            <w:tcW w:w="11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589588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4.0%</w:t>
            </w:r>
          </w:p>
        </w:tc>
      </w:tr>
      <w:tr w:rsidR="009B6C0B" w:rsidRPr="009B6C0B" w14:paraId="20D6D524" w14:textId="77777777" w:rsidTr="002640DC">
        <w:trPr>
          <w:cantSplit/>
          <w:trHeight w:val="183"/>
        </w:trPr>
        <w:tc>
          <w:tcPr>
            <w:tcW w:w="5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ACBCDD"/>
            <w:noWrap/>
            <w:vAlign w:val="bottom"/>
            <w:hideMark/>
          </w:tcPr>
          <w:p w14:paraId="461543A8" w14:textId="77777777" w:rsidR="00E35F4B" w:rsidRPr="00E35F4B" w:rsidRDefault="00E35F4B" w:rsidP="00E35F4B">
            <w:pPr>
              <w:rPr>
                <w:rFonts w:ascii="Museo Sans 300" w:eastAsia="Times New Roman" w:hAnsi="Museo Sans 300" w:cs="Arial"/>
                <w:b/>
                <w:bCs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b/>
                <w:bCs/>
                <w:color w:val="000000"/>
                <w:sz w:val="14"/>
                <w:lang w:val="es-SV"/>
              </w:rPr>
              <w:t xml:space="preserve">Seguridad Pública y Justicia </w:t>
            </w:r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CBCDD"/>
            <w:noWrap/>
            <w:vAlign w:val="bottom"/>
            <w:hideMark/>
          </w:tcPr>
          <w:p w14:paraId="38D16849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b/>
                <w:bCs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b/>
                <w:bCs/>
                <w:color w:val="000000"/>
                <w:sz w:val="14"/>
                <w:lang w:val="es-SV"/>
              </w:rPr>
              <w:t>41.0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CBCDD"/>
            <w:noWrap/>
            <w:vAlign w:val="bottom"/>
            <w:hideMark/>
          </w:tcPr>
          <w:p w14:paraId="549A93B5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b/>
                <w:bCs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b/>
                <w:bCs/>
                <w:sz w:val="14"/>
                <w:lang w:val="es-SV"/>
              </w:rPr>
              <w:t>2.6%</w:t>
            </w:r>
          </w:p>
        </w:tc>
        <w:tc>
          <w:tcPr>
            <w:tcW w:w="11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CBCDD"/>
            <w:noWrap/>
            <w:vAlign w:val="bottom"/>
            <w:hideMark/>
          </w:tcPr>
          <w:p w14:paraId="492162C4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b/>
                <w:bCs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b/>
                <w:bCs/>
                <w:sz w:val="14"/>
                <w:lang w:val="es-SV"/>
              </w:rPr>
              <w:t>100.0%</w:t>
            </w:r>
          </w:p>
        </w:tc>
      </w:tr>
      <w:tr w:rsidR="009B6C0B" w:rsidRPr="009B6C0B" w14:paraId="1D2C0555" w14:textId="77777777" w:rsidTr="002640DC">
        <w:trPr>
          <w:cantSplit/>
          <w:trHeight w:val="176"/>
        </w:trPr>
        <w:tc>
          <w:tcPr>
            <w:tcW w:w="542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B9B0B" w14:textId="77777777" w:rsidR="00E35F4B" w:rsidRPr="00E35F4B" w:rsidRDefault="00E35F4B" w:rsidP="00E35F4B">
            <w:pPr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 xml:space="preserve">Seguridad 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7F472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>12.6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9B892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0.8%</w:t>
            </w:r>
          </w:p>
        </w:tc>
        <w:tc>
          <w:tcPr>
            <w:tcW w:w="11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1A75F6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30.7%</w:t>
            </w:r>
          </w:p>
        </w:tc>
      </w:tr>
      <w:tr w:rsidR="009B6C0B" w:rsidRPr="009B6C0B" w14:paraId="7A5D7498" w14:textId="77777777" w:rsidTr="002640DC">
        <w:trPr>
          <w:cantSplit/>
          <w:trHeight w:val="183"/>
        </w:trPr>
        <w:tc>
          <w:tcPr>
            <w:tcW w:w="542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552BD" w14:textId="77777777" w:rsidR="00E35F4B" w:rsidRPr="00E35F4B" w:rsidRDefault="00E35F4B" w:rsidP="00E35F4B">
            <w:pPr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 xml:space="preserve">Justicia 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3F3BA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color w:val="000000"/>
                <w:sz w:val="14"/>
                <w:lang w:val="es-SV"/>
              </w:rPr>
              <w:t>28.4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A02F6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1.8%</w:t>
            </w:r>
          </w:p>
        </w:tc>
        <w:tc>
          <w:tcPr>
            <w:tcW w:w="11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90496B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sz w:val="14"/>
                <w:lang w:val="es-SV"/>
              </w:rPr>
              <w:t>69.3%</w:t>
            </w:r>
          </w:p>
        </w:tc>
      </w:tr>
      <w:tr w:rsidR="009B6C0B" w:rsidRPr="009B6C0B" w14:paraId="0B469EDB" w14:textId="77777777" w:rsidTr="002640DC">
        <w:trPr>
          <w:cantSplit/>
          <w:trHeight w:val="183"/>
        </w:trPr>
        <w:tc>
          <w:tcPr>
            <w:tcW w:w="5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ACBCDD"/>
            <w:noWrap/>
            <w:vAlign w:val="bottom"/>
            <w:hideMark/>
          </w:tcPr>
          <w:p w14:paraId="6E4EEC8B" w14:textId="77777777" w:rsidR="00E35F4B" w:rsidRPr="00E35F4B" w:rsidRDefault="00E35F4B" w:rsidP="00E35F4B">
            <w:pPr>
              <w:rPr>
                <w:rFonts w:ascii="Museo Sans 300" w:eastAsia="Times New Roman" w:hAnsi="Museo Sans 300" w:cs="Arial"/>
                <w:b/>
                <w:bCs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b/>
                <w:bCs/>
                <w:color w:val="000000"/>
                <w:sz w:val="14"/>
                <w:lang w:val="es-SV"/>
              </w:rPr>
              <w:t>TOTAL</w:t>
            </w:r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CBCDD"/>
            <w:noWrap/>
            <w:vAlign w:val="bottom"/>
            <w:hideMark/>
          </w:tcPr>
          <w:p w14:paraId="64D57E1D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b/>
                <w:bCs/>
                <w:color w:val="000000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b/>
                <w:bCs/>
                <w:color w:val="000000"/>
                <w:sz w:val="14"/>
                <w:lang w:val="es-SV"/>
              </w:rPr>
              <w:t>1,569.7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CBCDD"/>
            <w:noWrap/>
            <w:vAlign w:val="bottom"/>
            <w:hideMark/>
          </w:tcPr>
          <w:p w14:paraId="6D5414D8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b/>
                <w:bCs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b/>
                <w:bCs/>
                <w:sz w:val="14"/>
                <w:lang w:val="es-SV"/>
              </w:rPr>
              <w:t>100%</w:t>
            </w:r>
          </w:p>
        </w:tc>
        <w:tc>
          <w:tcPr>
            <w:tcW w:w="11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CBCDD"/>
            <w:noWrap/>
            <w:vAlign w:val="bottom"/>
            <w:hideMark/>
          </w:tcPr>
          <w:p w14:paraId="4DB09B67" w14:textId="77777777" w:rsidR="00E35F4B" w:rsidRPr="00E35F4B" w:rsidRDefault="00E35F4B" w:rsidP="00E35F4B">
            <w:pPr>
              <w:jc w:val="right"/>
              <w:rPr>
                <w:rFonts w:ascii="Museo Sans 300" w:eastAsia="Times New Roman" w:hAnsi="Museo Sans 300" w:cs="Arial"/>
                <w:b/>
                <w:bCs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b/>
                <w:bCs/>
                <w:sz w:val="14"/>
                <w:lang w:val="es-SV"/>
              </w:rPr>
              <w:t> </w:t>
            </w:r>
          </w:p>
        </w:tc>
      </w:tr>
      <w:tr w:rsidR="00E35F4B" w:rsidRPr="009B6C0B" w14:paraId="1A1D3913" w14:textId="77777777" w:rsidTr="002640DC">
        <w:trPr>
          <w:cantSplit/>
          <w:trHeight w:val="167"/>
        </w:trPr>
        <w:tc>
          <w:tcPr>
            <w:tcW w:w="8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8E245" w14:textId="77777777" w:rsidR="00E35F4B" w:rsidRPr="00E35F4B" w:rsidRDefault="00E35F4B" w:rsidP="00E35F4B">
            <w:pPr>
              <w:rPr>
                <w:rFonts w:ascii="Museo Sans 300" w:eastAsia="Times New Roman" w:hAnsi="Museo Sans 300" w:cs="Times New Roman"/>
                <w:sz w:val="14"/>
                <w:lang w:val="es-SV"/>
              </w:rPr>
            </w:pPr>
            <w:r w:rsidRPr="00E35F4B">
              <w:rPr>
                <w:rFonts w:ascii="Museo Sans 300" w:eastAsia="Times New Roman" w:hAnsi="Museo Sans 300" w:cs="Arial"/>
                <w:b/>
                <w:bCs/>
                <w:color w:val="000000"/>
                <w:sz w:val="16"/>
                <w:lang w:val="es-SV"/>
              </w:rPr>
              <w:t xml:space="preserve">Fuente: </w:t>
            </w:r>
            <w:r w:rsidRPr="00E35F4B">
              <w:rPr>
                <w:rFonts w:ascii="Museo Sans 300" w:eastAsia="Times New Roman" w:hAnsi="Museo Sans 300" w:cs="Arial"/>
                <w:color w:val="000000"/>
                <w:sz w:val="16"/>
                <w:lang w:val="es-SV"/>
              </w:rPr>
              <w:t xml:space="preserve">Dirección General de </w:t>
            </w:r>
            <w:r w:rsidRPr="009B6C0B">
              <w:rPr>
                <w:rFonts w:ascii="Museo Sans 300" w:eastAsia="Times New Roman" w:hAnsi="Museo Sans 300" w:cs="Arial"/>
                <w:color w:val="000000"/>
                <w:sz w:val="16"/>
                <w:lang w:val="es-SV"/>
              </w:rPr>
              <w:t>Inversión</w:t>
            </w:r>
            <w:r w:rsidRPr="00E35F4B">
              <w:rPr>
                <w:rFonts w:ascii="Museo Sans 300" w:eastAsia="Times New Roman" w:hAnsi="Museo Sans 300" w:cs="Arial"/>
                <w:color w:val="000000"/>
                <w:sz w:val="16"/>
                <w:lang w:val="es-SV"/>
              </w:rPr>
              <w:t xml:space="preserve"> y Crédito Público y Dirección General de Tesorería </w:t>
            </w:r>
          </w:p>
        </w:tc>
      </w:tr>
    </w:tbl>
    <w:p w14:paraId="6E2356BB" w14:textId="32873BE0" w:rsidR="00E35F4B" w:rsidRPr="009B6C0B" w:rsidRDefault="00E35F4B">
      <w:pPr>
        <w:spacing w:line="276" w:lineRule="auto"/>
        <w:jc w:val="center"/>
        <w:rPr>
          <w:rFonts w:ascii="Museo Sans 300" w:eastAsia="Museo Sans 300" w:hAnsi="Museo Sans 300" w:cs="Museo Sans 300"/>
          <w:sz w:val="22"/>
          <w:szCs w:val="22"/>
        </w:rPr>
      </w:pPr>
    </w:p>
    <w:p w14:paraId="0910DDD0" w14:textId="7F70F796" w:rsidR="009B6C0B" w:rsidRDefault="009B6C0B" w:rsidP="009B6C0B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Asimismo, la inversión </w:t>
      </w:r>
      <w:r w:rsidRPr="009B6C0B">
        <w:rPr>
          <w:rFonts w:ascii="Museo Sans 300" w:eastAsia="Museo Sans 300" w:hAnsi="Museo Sans 300" w:cs="Museo Sans 300"/>
          <w:b/>
          <w:bCs/>
          <w:sz w:val="22"/>
          <w:szCs w:val="22"/>
        </w:rPr>
        <w:t>para el Desarrollo Social</w:t>
      </w:r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 ascendió a $1,032.2 millones, con una participación del 65.8% en la inversión total, destacándose Desarrollo Urbano y Comunal con $513.4 millones, equivalente a 32.7% del total; Educación y Cultura $328.3 millones con una participación de 20.9% y Salud, $116.5 millones equivalente a 7.4%, entre otros.</w:t>
      </w:r>
    </w:p>
    <w:p w14:paraId="2BD73A6B" w14:textId="77777777" w:rsidR="009B6C0B" w:rsidRDefault="009B6C0B">
      <w:pPr>
        <w:rPr>
          <w:rFonts w:ascii="Museo Sans 300" w:eastAsia="Museo Sans 300" w:hAnsi="Museo Sans 300" w:cs="Museo Sans 300"/>
          <w:sz w:val="22"/>
          <w:szCs w:val="22"/>
        </w:rPr>
      </w:pPr>
      <w:r>
        <w:rPr>
          <w:rFonts w:ascii="Museo Sans 300" w:eastAsia="Museo Sans 300" w:hAnsi="Museo Sans 300" w:cs="Museo Sans 300"/>
          <w:sz w:val="22"/>
          <w:szCs w:val="22"/>
        </w:rPr>
        <w:br w:type="page"/>
      </w:r>
    </w:p>
    <w:p w14:paraId="7E60E3F1" w14:textId="4CD3301E" w:rsidR="00A747DD" w:rsidRPr="009B6C0B" w:rsidRDefault="00255E85" w:rsidP="009B6C0B">
      <w:pPr>
        <w:pStyle w:val="Ttulo2"/>
        <w:spacing w:line="480" w:lineRule="auto"/>
        <w:rPr>
          <w:rFonts w:ascii="Museo Sans 300" w:eastAsia="Museo Sans 300" w:hAnsi="Museo Sans 300" w:cs="Museo Sans 300"/>
        </w:rPr>
      </w:pPr>
      <w:bookmarkStart w:id="26" w:name="_Toc243319593"/>
      <w:r w:rsidRPr="009B6C0B">
        <w:rPr>
          <w:rFonts w:ascii="Museo Sans 300" w:eastAsia="Museo Sans 300" w:hAnsi="Museo Sans 300" w:cs="Museo Sans 300"/>
        </w:rPr>
        <w:lastRenderedPageBreak/>
        <w:t>3. Deuda del SPNF</w:t>
      </w:r>
      <w:bookmarkStart w:id="27" w:name="_wvuw93vy1cx4" w:colFirst="0" w:colLast="0"/>
      <w:bookmarkEnd w:id="26"/>
      <w:bookmarkEnd w:id="27"/>
    </w:p>
    <w:p w14:paraId="6282FE1B" w14:textId="0CB98A62" w:rsidR="00A747DD" w:rsidRPr="009B6C0B" w:rsidRDefault="00255E85" w:rsidP="009B6C0B">
      <w:pPr>
        <w:spacing w:after="240"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>La deuda del SPNF sin incluir pensiones al mes de diciembre de 2025 ascendió a $21,267.0 millones, equivalentes a 57.9% del PIB. Dicho saldo está compuesto por $14,516.6 millones que corresponden a deuda externa, equivalente a 39.5% del PIB y $6,750.4 millones correspondientes a deuda interna, representando el 18.4% del PIB. La Deuda del SPNF incluyendo las obligaciones previsionales suma $32,508.1 millones equivalente a 88.6% del PIB. Por su parte, el saldo de deuda Consolidada del SPNF más pensiones ascendió a $32,138.7 millones, equivalentes a 87.6% del PIB</w:t>
      </w:r>
    </w:p>
    <w:p w14:paraId="565B3F5A" w14:textId="77777777" w:rsidR="00A747DD" w:rsidRPr="00A23FAA" w:rsidRDefault="00255E85" w:rsidP="009B6C0B">
      <w:pPr>
        <w:spacing w:line="276" w:lineRule="auto"/>
        <w:ind w:right="-32"/>
        <w:rPr>
          <w:rFonts w:ascii="Museo Sans 300" w:eastAsia="Museo Sans 300" w:hAnsi="Museo Sans 300" w:cs="Museo Sans 300"/>
          <w:i/>
          <w:sz w:val="22"/>
          <w:szCs w:val="22"/>
        </w:rPr>
      </w:pPr>
      <w:r w:rsidRPr="00A23FAA">
        <w:rPr>
          <w:rFonts w:ascii="Museo Sans 300" w:eastAsia="Museo Sans 300" w:hAnsi="Museo Sans 300" w:cs="Museo Sans 300"/>
          <w:i/>
          <w:sz w:val="22"/>
          <w:szCs w:val="22"/>
        </w:rPr>
        <w:t>Tabla 4: Saldo de la Deuda del SPNF al mes de diciembre de 2025</w:t>
      </w:r>
    </w:p>
    <w:p w14:paraId="0BD42975" w14:textId="7937C8A4" w:rsidR="00A747DD" w:rsidRPr="00A23FAA" w:rsidRDefault="00255E85" w:rsidP="009B6C0B">
      <w:pPr>
        <w:spacing w:line="276" w:lineRule="auto"/>
        <w:ind w:right="-32"/>
        <w:rPr>
          <w:rFonts w:ascii="Museo Sans 300" w:eastAsia="Museo Sans 300" w:hAnsi="Museo Sans 300" w:cs="Museo Sans 300"/>
          <w:i/>
          <w:sz w:val="22"/>
          <w:szCs w:val="22"/>
        </w:rPr>
      </w:pPr>
      <w:r w:rsidRPr="00A23FAA">
        <w:rPr>
          <w:rFonts w:ascii="Museo Sans 300" w:eastAsia="Museo Sans 300" w:hAnsi="Museo Sans 300" w:cs="Museo Sans 300"/>
          <w:i/>
          <w:sz w:val="22"/>
          <w:szCs w:val="22"/>
        </w:rPr>
        <w:t>En Millones de $ y % del PIB</w:t>
      </w:r>
    </w:p>
    <w:tbl>
      <w:tblPr>
        <w:tblW w:w="502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9"/>
        <w:gridCol w:w="1119"/>
        <w:gridCol w:w="1119"/>
        <w:gridCol w:w="1119"/>
        <w:gridCol w:w="1121"/>
      </w:tblGrid>
      <w:tr w:rsidR="005B6518" w:rsidRPr="009B6C0B" w14:paraId="66A4A669" w14:textId="77777777" w:rsidTr="004A168E">
        <w:trPr>
          <w:trHeight w:val="855"/>
        </w:trPr>
        <w:tc>
          <w:tcPr>
            <w:tcW w:w="2262" w:type="pct"/>
            <w:tcBorders>
              <w:top w:val="single" w:sz="4" w:space="0" w:color="auto"/>
              <w:bottom w:val="single" w:sz="4" w:space="0" w:color="auto"/>
            </w:tcBorders>
            <w:shd w:val="clear" w:color="auto" w:fill="17365D" w:themeFill="text2" w:themeFillShade="BF"/>
            <w:vAlign w:val="center"/>
            <w:hideMark/>
          </w:tcPr>
          <w:p w14:paraId="65472B2B" w14:textId="77777777" w:rsidR="005B6518" w:rsidRPr="005B6518" w:rsidRDefault="005B6518" w:rsidP="004A168E">
            <w:pPr>
              <w:jc w:val="center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Sector Público No Financiero s/ Pensiones</w:t>
            </w:r>
          </w:p>
        </w:tc>
        <w:tc>
          <w:tcPr>
            <w:tcW w:w="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17365D" w:themeFill="text2" w:themeFillShade="BF"/>
            <w:vAlign w:val="center"/>
            <w:hideMark/>
          </w:tcPr>
          <w:p w14:paraId="764FFD44" w14:textId="39718127" w:rsidR="005B6518" w:rsidRPr="005B6518" w:rsidRDefault="005B6518" w:rsidP="004A168E">
            <w:pPr>
              <w:jc w:val="center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Saldo</w:t>
            </w: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br/>
            </w:r>
            <w:r w:rsidR="004A168E"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diciembre</w:t>
            </w: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 xml:space="preserve"> 2024</w:t>
            </w:r>
          </w:p>
        </w:tc>
        <w:tc>
          <w:tcPr>
            <w:tcW w:w="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17365D" w:themeFill="text2" w:themeFillShade="BF"/>
            <w:vAlign w:val="center"/>
            <w:hideMark/>
          </w:tcPr>
          <w:p w14:paraId="75B40213" w14:textId="527487F7" w:rsidR="005B6518" w:rsidRPr="005B6518" w:rsidRDefault="005B6518" w:rsidP="004A168E">
            <w:pPr>
              <w:jc w:val="center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Saldo</w:t>
            </w: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br/>
            </w:r>
            <w:r w:rsidR="004A168E"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diciembre</w:t>
            </w: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 xml:space="preserve"> 2025</w:t>
            </w:r>
          </w:p>
        </w:tc>
        <w:tc>
          <w:tcPr>
            <w:tcW w:w="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17365D" w:themeFill="text2" w:themeFillShade="BF"/>
            <w:vAlign w:val="center"/>
            <w:hideMark/>
          </w:tcPr>
          <w:p w14:paraId="15C09428" w14:textId="5B90DD8E" w:rsidR="005B6518" w:rsidRPr="005B6518" w:rsidRDefault="005B6518" w:rsidP="004A168E">
            <w:pPr>
              <w:jc w:val="center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Saldo % PIB</w:t>
            </w: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br/>
            </w:r>
            <w:r w:rsidR="004A168E"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diciembre</w:t>
            </w: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 xml:space="preserve"> 2024</w:t>
            </w:r>
          </w:p>
        </w:tc>
        <w:tc>
          <w:tcPr>
            <w:tcW w:w="685" w:type="pct"/>
            <w:tcBorders>
              <w:top w:val="single" w:sz="4" w:space="0" w:color="auto"/>
              <w:bottom w:val="single" w:sz="4" w:space="0" w:color="auto"/>
            </w:tcBorders>
            <w:shd w:val="clear" w:color="auto" w:fill="17365D" w:themeFill="text2" w:themeFillShade="BF"/>
            <w:vAlign w:val="center"/>
            <w:hideMark/>
          </w:tcPr>
          <w:p w14:paraId="180082BF" w14:textId="5F906DB8" w:rsidR="005B6518" w:rsidRPr="005B6518" w:rsidRDefault="005B6518" w:rsidP="004A168E">
            <w:pPr>
              <w:jc w:val="center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Saldo % PIB</w:t>
            </w: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br/>
            </w:r>
            <w:r w:rsidR="004A168E"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diciembre</w:t>
            </w: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 xml:space="preserve"> 2025</w:t>
            </w:r>
          </w:p>
        </w:tc>
      </w:tr>
      <w:tr w:rsidR="009B6C0B" w:rsidRPr="009B6C0B" w14:paraId="21CD4E80" w14:textId="77777777" w:rsidTr="004A168E">
        <w:trPr>
          <w:trHeight w:val="284"/>
        </w:trPr>
        <w:tc>
          <w:tcPr>
            <w:tcW w:w="226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0FFDB" w14:textId="77777777" w:rsidR="005B6518" w:rsidRPr="005B6518" w:rsidRDefault="005B6518" w:rsidP="005B6518">
            <w:pPr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  <w:t xml:space="preserve">    Deuda Externa SPNF</w:t>
            </w:r>
          </w:p>
        </w:tc>
        <w:tc>
          <w:tcPr>
            <w:tcW w:w="68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45C1C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  <w:t>12,922.4</w:t>
            </w:r>
          </w:p>
        </w:tc>
        <w:tc>
          <w:tcPr>
            <w:tcW w:w="68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E790F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  <w:t>14,516.6</w:t>
            </w:r>
          </w:p>
        </w:tc>
        <w:tc>
          <w:tcPr>
            <w:tcW w:w="68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71AF4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  <w:t>37.0%</w:t>
            </w: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1C8B4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  <w:t>39.5%</w:t>
            </w:r>
          </w:p>
        </w:tc>
      </w:tr>
      <w:tr w:rsidR="009B6C0B" w:rsidRPr="009B6C0B" w14:paraId="72B95D17" w14:textId="77777777" w:rsidTr="004A168E">
        <w:trPr>
          <w:trHeight w:val="284"/>
        </w:trPr>
        <w:tc>
          <w:tcPr>
            <w:tcW w:w="2262" w:type="pct"/>
            <w:shd w:val="clear" w:color="auto" w:fill="auto"/>
            <w:noWrap/>
            <w:vAlign w:val="bottom"/>
            <w:hideMark/>
          </w:tcPr>
          <w:p w14:paraId="5C494550" w14:textId="77777777" w:rsidR="005B6518" w:rsidRPr="005B6518" w:rsidRDefault="005B6518" w:rsidP="005B6518">
            <w:pPr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  <w:t xml:space="preserve">    Deuda Interna SPNF</w:t>
            </w:r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01F4EC7A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  <w:t>7,449.8</w:t>
            </w:r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2C20B2B4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  <w:t>6,750.4</w:t>
            </w:r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7D746793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  <w:t>21.4%</w:t>
            </w:r>
          </w:p>
        </w:tc>
        <w:tc>
          <w:tcPr>
            <w:tcW w:w="685" w:type="pct"/>
            <w:shd w:val="clear" w:color="auto" w:fill="auto"/>
            <w:noWrap/>
            <w:vAlign w:val="bottom"/>
            <w:hideMark/>
          </w:tcPr>
          <w:p w14:paraId="75B66E7B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  <w:t>18.4%</w:t>
            </w:r>
          </w:p>
        </w:tc>
      </w:tr>
      <w:tr w:rsidR="004A168E" w:rsidRPr="009B6C0B" w14:paraId="1E6E5CA1" w14:textId="77777777" w:rsidTr="004A168E">
        <w:trPr>
          <w:trHeight w:val="284"/>
        </w:trPr>
        <w:tc>
          <w:tcPr>
            <w:tcW w:w="2262" w:type="pct"/>
            <w:shd w:val="clear" w:color="auto" w:fill="DBE5F1" w:themeFill="accent1" w:themeFillTint="33"/>
            <w:noWrap/>
            <w:vAlign w:val="bottom"/>
            <w:hideMark/>
          </w:tcPr>
          <w:p w14:paraId="4C3537A9" w14:textId="77777777" w:rsidR="005B6518" w:rsidRPr="005B6518" w:rsidRDefault="005B6518" w:rsidP="005B6518">
            <w:pPr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Saldo del Sector Público No Financiero (Sin pensiones)</w:t>
            </w:r>
          </w:p>
        </w:tc>
        <w:tc>
          <w:tcPr>
            <w:tcW w:w="684" w:type="pct"/>
            <w:shd w:val="clear" w:color="auto" w:fill="DBE5F1" w:themeFill="accent1" w:themeFillTint="33"/>
            <w:noWrap/>
            <w:vAlign w:val="bottom"/>
            <w:hideMark/>
          </w:tcPr>
          <w:p w14:paraId="30A5356C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20,372.2</w:t>
            </w:r>
          </w:p>
        </w:tc>
        <w:tc>
          <w:tcPr>
            <w:tcW w:w="684" w:type="pct"/>
            <w:shd w:val="clear" w:color="auto" w:fill="DBE5F1" w:themeFill="accent1" w:themeFillTint="33"/>
            <w:noWrap/>
            <w:vAlign w:val="bottom"/>
            <w:hideMark/>
          </w:tcPr>
          <w:p w14:paraId="4CFF40B5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21,267.0</w:t>
            </w:r>
          </w:p>
        </w:tc>
        <w:tc>
          <w:tcPr>
            <w:tcW w:w="684" w:type="pct"/>
            <w:shd w:val="clear" w:color="auto" w:fill="DBE5F1" w:themeFill="accent1" w:themeFillTint="33"/>
            <w:noWrap/>
            <w:vAlign w:val="bottom"/>
            <w:hideMark/>
          </w:tcPr>
          <w:p w14:paraId="77623CBD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58.4%</w:t>
            </w:r>
          </w:p>
        </w:tc>
        <w:tc>
          <w:tcPr>
            <w:tcW w:w="685" w:type="pct"/>
            <w:shd w:val="clear" w:color="auto" w:fill="DBE5F1" w:themeFill="accent1" w:themeFillTint="33"/>
            <w:noWrap/>
            <w:vAlign w:val="bottom"/>
            <w:hideMark/>
          </w:tcPr>
          <w:p w14:paraId="0EC10876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57.9%</w:t>
            </w:r>
          </w:p>
        </w:tc>
      </w:tr>
      <w:tr w:rsidR="009B6C0B" w:rsidRPr="009B6C0B" w14:paraId="507EF087" w14:textId="77777777" w:rsidTr="004A168E">
        <w:trPr>
          <w:trHeight w:val="284"/>
        </w:trPr>
        <w:tc>
          <w:tcPr>
            <w:tcW w:w="2262" w:type="pct"/>
            <w:shd w:val="clear" w:color="auto" w:fill="auto"/>
            <w:noWrap/>
            <w:vAlign w:val="bottom"/>
            <w:hideMark/>
          </w:tcPr>
          <w:p w14:paraId="0AE44417" w14:textId="77777777" w:rsidR="005B6518" w:rsidRPr="005B6518" w:rsidRDefault="005B6518" w:rsidP="005B6518">
            <w:pPr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  <w:t xml:space="preserve">    Certificados de Financiamiento de </w:t>
            </w:r>
            <w:r w:rsidRPr="009B6C0B"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  <w:t>Transición</w:t>
            </w:r>
            <w:r w:rsidRPr="005B6518"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  <w:t xml:space="preserve"> (CFT)</w:t>
            </w:r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7214D149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  <w:t>8,395.7</w:t>
            </w:r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23ADE0CC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  <w:t>8,394.2</w:t>
            </w:r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6095AE93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  <w:t>24.1%</w:t>
            </w:r>
          </w:p>
        </w:tc>
        <w:tc>
          <w:tcPr>
            <w:tcW w:w="685" w:type="pct"/>
            <w:shd w:val="clear" w:color="auto" w:fill="auto"/>
            <w:noWrap/>
            <w:vAlign w:val="bottom"/>
            <w:hideMark/>
          </w:tcPr>
          <w:p w14:paraId="69572DA5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  <w:t>22.9%</w:t>
            </w:r>
          </w:p>
        </w:tc>
      </w:tr>
      <w:tr w:rsidR="009B6C0B" w:rsidRPr="009B6C0B" w14:paraId="16902F81" w14:textId="77777777" w:rsidTr="004A168E">
        <w:trPr>
          <w:trHeight w:val="284"/>
        </w:trPr>
        <w:tc>
          <w:tcPr>
            <w:tcW w:w="2262" w:type="pct"/>
            <w:shd w:val="clear" w:color="auto" w:fill="auto"/>
            <w:noWrap/>
            <w:vAlign w:val="bottom"/>
            <w:hideMark/>
          </w:tcPr>
          <w:p w14:paraId="30DE3FDD" w14:textId="77777777" w:rsidR="005B6518" w:rsidRPr="005B6518" w:rsidRDefault="005B6518" w:rsidP="005B6518">
            <w:pPr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  <w:t xml:space="preserve">    Certificados de Obligaciones Previsionales (COP)</w:t>
            </w:r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5944CC70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  <w:t>2,130.2</w:t>
            </w:r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3F63C5A5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  <w:t>2,846.9</w:t>
            </w:r>
          </w:p>
        </w:tc>
        <w:tc>
          <w:tcPr>
            <w:tcW w:w="684" w:type="pct"/>
            <w:shd w:val="clear" w:color="auto" w:fill="auto"/>
            <w:noWrap/>
            <w:vAlign w:val="bottom"/>
            <w:hideMark/>
          </w:tcPr>
          <w:p w14:paraId="71A2266D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  <w:t>6.1%</w:t>
            </w:r>
          </w:p>
        </w:tc>
        <w:tc>
          <w:tcPr>
            <w:tcW w:w="685" w:type="pct"/>
            <w:shd w:val="clear" w:color="auto" w:fill="auto"/>
            <w:noWrap/>
            <w:vAlign w:val="bottom"/>
            <w:hideMark/>
          </w:tcPr>
          <w:p w14:paraId="74A91B7B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color w:val="000000"/>
                <w:sz w:val="16"/>
                <w:szCs w:val="22"/>
                <w:lang w:val="es-SV"/>
              </w:rPr>
              <w:t>7.8%</w:t>
            </w:r>
          </w:p>
        </w:tc>
      </w:tr>
      <w:tr w:rsidR="005B6518" w:rsidRPr="009B6C0B" w14:paraId="043D128F" w14:textId="77777777" w:rsidTr="004A168E">
        <w:trPr>
          <w:trHeight w:val="284"/>
        </w:trPr>
        <w:tc>
          <w:tcPr>
            <w:tcW w:w="2262" w:type="pct"/>
            <w:shd w:val="clear" w:color="auto" w:fill="0F243E" w:themeFill="text2" w:themeFillShade="80"/>
            <w:noWrap/>
            <w:vAlign w:val="bottom"/>
            <w:hideMark/>
          </w:tcPr>
          <w:p w14:paraId="347B180B" w14:textId="77777777" w:rsidR="005B6518" w:rsidRPr="005B6518" w:rsidRDefault="005B6518" w:rsidP="004A168E">
            <w:pPr>
              <w:jc w:val="center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Total</w:t>
            </w:r>
          </w:p>
        </w:tc>
        <w:tc>
          <w:tcPr>
            <w:tcW w:w="684" w:type="pct"/>
            <w:shd w:val="clear" w:color="auto" w:fill="0F243E" w:themeFill="text2" w:themeFillShade="80"/>
            <w:noWrap/>
            <w:vAlign w:val="bottom"/>
            <w:hideMark/>
          </w:tcPr>
          <w:p w14:paraId="71562FF7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10,525.9</w:t>
            </w:r>
          </w:p>
        </w:tc>
        <w:tc>
          <w:tcPr>
            <w:tcW w:w="684" w:type="pct"/>
            <w:shd w:val="clear" w:color="auto" w:fill="0F243E" w:themeFill="text2" w:themeFillShade="80"/>
            <w:noWrap/>
            <w:vAlign w:val="bottom"/>
            <w:hideMark/>
          </w:tcPr>
          <w:p w14:paraId="127B0BFF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11,241.1</w:t>
            </w:r>
          </w:p>
        </w:tc>
        <w:tc>
          <w:tcPr>
            <w:tcW w:w="684" w:type="pct"/>
            <w:shd w:val="clear" w:color="auto" w:fill="0F243E" w:themeFill="text2" w:themeFillShade="80"/>
            <w:noWrap/>
            <w:vAlign w:val="bottom"/>
            <w:hideMark/>
          </w:tcPr>
          <w:p w14:paraId="1587F375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30.2%</w:t>
            </w:r>
          </w:p>
        </w:tc>
        <w:tc>
          <w:tcPr>
            <w:tcW w:w="685" w:type="pct"/>
            <w:shd w:val="clear" w:color="auto" w:fill="0F243E" w:themeFill="text2" w:themeFillShade="80"/>
            <w:noWrap/>
            <w:vAlign w:val="bottom"/>
            <w:hideMark/>
          </w:tcPr>
          <w:p w14:paraId="1B937D5D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30.6%</w:t>
            </w:r>
          </w:p>
        </w:tc>
      </w:tr>
      <w:tr w:rsidR="004A168E" w:rsidRPr="009B6C0B" w14:paraId="556097A2" w14:textId="77777777" w:rsidTr="004A168E">
        <w:trPr>
          <w:trHeight w:val="284"/>
        </w:trPr>
        <w:tc>
          <w:tcPr>
            <w:tcW w:w="2262" w:type="pct"/>
            <w:shd w:val="clear" w:color="auto" w:fill="DBE5F1" w:themeFill="accent1" w:themeFillTint="33"/>
            <w:noWrap/>
            <w:vAlign w:val="bottom"/>
            <w:hideMark/>
          </w:tcPr>
          <w:p w14:paraId="35FDAD26" w14:textId="77777777" w:rsidR="005B6518" w:rsidRPr="005B6518" w:rsidRDefault="005B6518" w:rsidP="005B6518">
            <w:pPr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Saldo total de la deuda SPNF (incluye pensiones)</w:t>
            </w:r>
          </w:p>
        </w:tc>
        <w:tc>
          <w:tcPr>
            <w:tcW w:w="684" w:type="pct"/>
            <w:shd w:val="clear" w:color="auto" w:fill="DBE5F1" w:themeFill="accent1" w:themeFillTint="33"/>
            <w:noWrap/>
            <w:vAlign w:val="bottom"/>
            <w:hideMark/>
          </w:tcPr>
          <w:p w14:paraId="5FE8634B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30,898.1</w:t>
            </w:r>
          </w:p>
        </w:tc>
        <w:tc>
          <w:tcPr>
            <w:tcW w:w="684" w:type="pct"/>
            <w:shd w:val="clear" w:color="auto" w:fill="DBE5F1" w:themeFill="accent1" w:themeFillTint="33"/>
            <w:noWrap/>
            <w:vAlign w:val="bottom"/>
            <w:hideMark/>
          </w:tcPr>
          <w:p w14:paraId="713621F0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32,508.1</w:t>
            </w:r>
          </w:p>
        </w:tc>
        <w:tc>
          <w:tcPr>
            <w:tcW w:w="684" w:type="pct"/>
            <w:shd w:val="clear" w:color="auto" w:fill="DBE5F1" w:themeFill="accent1" w:themeFillTint="33"/>
            <w:noWrap/>
            <w:vAlign w:val="bottom"/>
            <w:hideMark/>
          </w:tcPr>
          <w:p w14:paraId="44C0F165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88.6%</w:t>
            </w:r>
          </w:p>
        </w:tc>
        <w:tc>
          <w:tcPr>
            <w:tcW w:w="685" w:type="pct"/>
            <w:shd w:val="clear" w:color="auto" w:fill="DBE5F1" w:themeFill="accent1" w:themeFillTint="33"/>
            <w:noWrap/>
            <w:vAlign w:val="bottom"/>
            <w:hideMark/>
          </w:tcPr>
          <w:p w14:paraId="38F97740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88.6%</w:t>
            </w:r>
          </w:p>
        </w:tc>
      </w:tr>
      <w:tr w:rsidR="004A168E" w:rsidRPr="009B6C0B" w14:paraId="7731E615" w14:textId="77777777" w:rsidTr="004A168E">
        <w:trPr>
          <w:trHeight w:val="284"/>
        </w:trPr>
        <w:tc>
          <w:tcPr>
            <w:tcW w:w="2262" w:type="pct"/>
            <w:tcBorders>
              <w:bottom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14:paraId="75A60355" w14:textId="77777777" w:rsidR="005B6518" w:rsidRPr="005B6518" w:rsidRDefault="005B6518" w:rsidP="005B6518">
            <w:pPr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Saldo de la deuda consolidada SPNF (incluye pensiones)</w:t>
            </w:r>
          </w:p>
        </w:tc>
        <w:tc>
          <w:tcPr>
            <w:tcW w:w="684" w:type="pct"/>
            <w:tcBorders>
              <w:bottom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14:paraId="7CDAB9C7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30,598.1</w:t>
            </w:r>
          </w:p>
        </w:tc>
        <w:tc>
          <w:tcPr>
            <w:tcW w:w="684" w:type="pct"/>
            <w:tcBorders>
              <w:bottom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14:paraId="6E1608B1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32,138.7</w:t>
            </w:r>
          </w:p>
        </w:tc>
        <w:tc>
          <w:tcPr>
            <w:tcW w:w="684" w:type="pct"/>
            <w:tcBorders>
              <w:bottom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14:paraId="5E5862D0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87.7%</w:t>
            </w:r>
          </w:p>
        </w:tc>
        <w:tc>
          <w:tcPr>
            <w:tcW w:w="685" w:type="pct"/>
            <w:tcBorders>
              <w:bottom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14:paraId="7FD3B0C8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87.6%</w:t>
            </w:r>
          </w:p>
        </w:tc>
      </w:tr>
      <w:tr w:rsidR="009B6C0B" w:rsidRPr="009B6C0B" w14:paraId="749F1D32" w14:textId="77777777" w:rsidTr="004A168E">
        <w:trPr>
          <w:trHeight w:val="284"/>
        </w:trPr>
        <w:tc>
          <w:tcPr>
            <w:tcW w:w="226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4B687" w14:textId="77777777" w:rsidR="005B6518" w:rsidRPr="005B6518" w:rsidRDefault="005B6518" w:rsidP="005B6518">
            <w:pPr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  <w:t>Fuente: DGICP, BCR y DGT</w:t>
            </w:r>
          </w:p>
        </w:tc>
        <w:tc>
          <w:tcPr>
            <w:tcW w:w="68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B3F78" w14:textId="77777777" w:rsidR="005B6518" w:rsidRPr="005B6518" w:rsidRDefault="005B6518" w:rsidP="005B6518">
            <w:pPr>
              <w:rPr>
                <w:rFonts w:ascii="Museo Sans 300" w:eastAsia="Times New Roman" w:hAnsi="Museo Sans 300"/>
                <w:b/>
                <w:bCs/>
                <w:sz w:val="16"/>
                <w:szCs w:val="22"/>
                <w:lang w:val="es-SV"/>
              </w:rPr>
            </w:pPr>
          </w:p>
        </w:tc>
        <w:tc>
          <w:tcPr>
            <w:tcW w:w="68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EC40C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68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3D7F4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06C15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</w:tr>
    </w:tbl>
    <w:p w14:paraId="172FF084" w14:textId="77777777" w:rsidR="005B6518" w:rsidRPr="009B6C0B" w:rsidRDefault="005B6518">
      <w:pPr>
        <w:spacing w:after="240" w:line="276" w:lineRule="auto"/>
        <w:jc w:val="both"/>
        <w:rPr>
          <w:rFonts w:ascii="Museo Sans 300" w:eastAsia="Museo Sans 300" w:hAnsi="Museo Sans 300" w:cs="Museo Sans 300"/>
          <w:color w:val="FF0000"/>
          <w:sz w:val="22"/>
          <w:szCs w:val="22"/>
        </w:rPr>
      </w:pPr>
    </w:p>
    <w:p w14:paraId="252ABA6B" w14:textId="77777777" w:rsidR="00A747DD" w:rsidRPr="009B6C0B" w:rsidRDefault="00255E85">
      <w:pPr>
        <w:pStyle w:val="Ttulo3"/>
        <w:spacing w:line="480" w:lineRule="auto"/>
        <w:rPr>
          <w:rFonts w:ascii="Museo Sans 300" w:eastAsia="Museo Sans 300" w:hAnsi="Museo Sans 300" w:cs="Museo Sans 300"/>
        </w:rPr>
      </w:pPr>
      <w:bookmarkStart w:id="28" w:name="_Toc243319594"/>
      <w:r w:rsidRPr="009B6C0B">
        <w:rPr>
          <w:rFonts w:ascii="Museo Sans 300" w:eastAsia="Museo Sans 300" w:hAnsi="Museo Sans 300" w:cs="Museo Sans 300"/>
        </w:rPr>
        <w:t>3.1 Deuda Interna</w:t>
      </w:r>
      <w:bookmarkEnd w:id="28"/>
    </w:p>
    <w:p w14:paraId="733E52C4" w14:textId="77777777" w:rsidR="00A747DD" w:rsidRPr="009B6C0B" w:rsidRDefault="00255E85">
      <w:pPr>
        <w:spacing w:after="240"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bookmarkStart w:id="29" w:name="_49q842577az" w:colFirst="0" w:colLast="0"/>
      <w:bookmarkEnd w:id="29"/>
      <w:r w:rsidRPr="009B6C0B">
        <w:rPr>
          <w:rFonts w:ascii="Museo Sans 300" w:eastAsia="Museo Sans 300" w:hAnsi="Museo Sans 300" w:cs="Museo Sans 300"/>
          <w:sz w:val="22"/>
          <w:szCs w:val="22"/>
        </w:rPr>
        <w:t>La composición del saldo de deuda interna se distribuye así: Bonos con un saldo que asciende a $4,434.9 millones; $1,078.6 millones corresponden a LETES; $80.0 millones a CETES; BCR, con $1,081.3 millones (Bonos conversión y consolidación deuda GOES-BCR y Bonos DEG GOES-BCR) y otros con $75.5 millones.</w:t>
      </w:r>
      <w:r w:rsidRPr="009B6C0B">
        <w:rPr>
          <w:rFonts w:ascii="Museo Sans 300" w:eastAsia="Museo Sans 100" w:hAnsi="Museo Sans 300" w:cs="Museo Sans 100"/>
          <w:i/>
          <w:iCs/>
          <w:sz w:val="22"/>
          <w:szCs w:val="22"/>
        </w:rPr>
        <w:t xml:space="preserve"> </w:t>
      </w:r>
      <w:r w:rsidRPr="009B6C0B">
        <w:rPr>
          <w:rFonts w:ascii="Museo Sans 300" w:eastAsia="Museo Sans 300" w:hAnsi="Museo Sans 300" w:cs="Museo Sans 300"/>
          <w:sz w:val="22"/>
          <w:szCs w:val="22"/>
        </w:rPr>
        <w:t>Al incluir el saldo de Certificados de Financiamiento de Transición (CFT) por $8,394.2 millones y el saldo de Certificados de Obligaciones Previsionales (COP) por $2,846.9 millones, la deuda interna se amplía a $17,991.5 millones.</w:t>
      </w:r>
    </w:p>
    <w:p w14:paraId="38FA1660" w14:textId="01942D7D" w:rsidR="00A747DD" w:rsidRPr="009B6C0B" w:rsidRDefault="00255E85">
      <w:pPr>
        <w:pStyle w:val="Ttulo3"/>
        <w:spacing w:line="480" w:lineRule="auto"/>
        <w:rPr>
          <w:rFonts w:ascii="Museo Sans 300" w:eastAsia="Museo Sans 300" w:hAnsi="Museo Sans 300" w:cs="Museo Sans 300"/>
        </w:rPr>
      </w:pPr>
      <w:bookmarkStart w:id="30" w:name="_Toc243319595"/>
      <w:r w:rsidRPr="009B6C0B">
        <w:rPr>
          <w:rFonts w:ascii="Museo Sans 300" w:eastAsia="Museo Sans 300" w:hAnsi="Museo Sans 300" w:cs="Museo Sans 300"/>
        </w:rPr>
        <w:t xml:space="preserve">3.2 Deuda </w:t>
      </w:r>
      <w:r w:rsidR="00CB08B7">
        <w:rPr>
          <w:rFonts w:ascii="Museo Sans 300" w:eastAsia="Museo Sans 300" w:hAnsi="Museo Sans 300" w:cs="Museo Sans 300"/>
        </w:rPr>
        <w:t>E</w:t>
      </w:r>
      <w:r w:rsidRPr="009B6C0B">
        <w:rPr>
          <w:rFonts w:ascii="Museo Sans 300" w:eastAsia="Museo Sans 300" w:hAnsi="Museo Sans 300" w:cs="Museo Sans 300"/>
        </w:rPr>
        <w:t>xterna</w:t>
      </w:r>
      <w:bookmarkEnd w:id="30"/>
    </w:p>
    <w:p w14:paraId="6D392D60" w14:textId="77777777" w:rsidR="00A747DD" w:rsidRPr="009B6C0B" w:rsidRDefault="00255E85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El saldo de la deuda externa está compuesto de la siguiente manera: Instituciones multilaterales, con $7,291.3 millones, destacándose el BCIE con un saldo de $2,559.5 millones, el BID con $2,410.9 millones; y el BIRF con $1,246.8 millones, entre otros. </w:t>
      </w:r>
    </w:p>
    <w:p w14:paraId="458EA72C" w14:textId="77777777" w:rsidR="00A747DD" w:rsidRPr="009B6C0B" w:rsidRDefault="00A747DD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0CB02106" w14:textId="77777777" w:rsidR="00A747DD" w:rsidRPr="009B6C0B" w:rsidRDefault="00255E85">
      <w:pPr>
        <w:spacing w:after="240"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>La deuda bilateral ascendió a $347.0 millones, sobresaliendo Japón con un saldo de $155.7 millones, Alemania con $64.8 millones, entre otros.</w:t>
      </w:r>
    </w:p>
    <w:p w14:paraId="5BEF9515" w14:textId="77777777" w:rsidR="00A747DD" w:rsidRPr="009B6C0B" w:rsidRDefault="00255E85">
      <w:pPr>
        <w:spacing w:after="240"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lastRenderedPageBreak/>
        <w:t xml:space="preserve">Finalmente, los eurobonos en poder de no residentes (deuda comercial) ascendieron a $6,878.4 millones. Dicho saldo está influenciado por la Estrategia de manejo de pasivos que se desarrolló durante el año 2024, donde se realizaron tres operaciones ejecutada durante los meses de abril, octubre y noviembre, con todas estas operaciones se han recomprado bonos de diferentes vencimientos y se ha suavizado el perfil de la deuda soberana, reduciendo sustancialmente el riesgo de refinanciamiento y las presiones fiscales de corto plazo. </w:t>
      </w:r>
    </w:p>
    <w:p w14:paraId="11371F6C" w14:textId="77777777" w:rsidR="00A747DD" w:rsidRPr="009B6C0B" w:rsidRDefault="00255E85">
      <w:pPr>
        <w:pStyle w:val="Ttulo3"/>
        <w:spacing w:line="480" w:lineRule="auto"/>
        <w:rPr>
          <w:rFonts w:ascii="Museo Sans 300" w:eastAsia="Museo Sans 300" w:hAnsi="Museo Sans 300" w:cs="Museo Sans 300"/>
        </w:rPr>
      </w:pPr>
      <w:bookmarkStart w:id="31" w:name="_Toc243319596"/>
      <w:r w:rsidRPr="009B6C0B">
        <w:rPr>
          <w:rFonts w:ascii="Museo Sans 300" w:eastAsia="Museo Sans 300" w:hAnsi="Museo Sans 300" w:cs="Museo Sans 300"/>
        </w:rPr>
        <w:t>3.3 Servicio de la Deuda</w:t>
      </w:r>
      <w:bookmarkEnd w:id="31"/>
      <w:r w:rsidRPr="009B6C0B">
        <w:rPr>
          <w:rFonts w:ascii="Museo Sans 300" w:eastAsia="Museo Sans 300" w:hAnsi="Museo Sans 300" w:cs="Museo Sans 300"/>
        </w:rPr>
        <w:t xml:space="preserve"> </w:t>
      </w:r>
    </w:p>
    <w:p w14:paraId="0ABD2F14" w14:textId="77777777" w:rsidR="00A747DD" w:rsidRPr="009B6C0B" w:rsidRDefault="00255E85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El servicio de deuda del SPNF al mes de diciembre 2025 ascendió a un valor de $5,598.0 millones, de los cuales corresponde a las amortizaciones $3,842.1 millones. Dentro de este valor le corresponde a la deuda de corto plazo (LETES Y CETES) un valor de $1,568.3 millones (principalmente </w:t>
      </w:r>
      <w:proofErr w:type="spellStart"/>
      <w:r w:rsidRPr="009B6C0B">
        <w:rPr>
          <w:rFonts w:ascii="Museo Sans 300" w:eastAsia="Museo Sans 300" w:hAnsi="Museo Sans 300" w:cs="Museo Sans 300"/>
          <w:sz w:val="22"/>
          <w:szCs w:val="22"/>
        </w:rPr>
        <w:t>rollover</w:t>
      </w:r>
      <w:proofErr w:type="spellEnd"/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). Por su parte, las amortizaciones efectuadas a bonos, COP´S y préstamos de mediano y largo plazo ascendieron a $2,273.8 millones. </w:t>
      </w:r>
    </w:p>
    <w:p w14:paraId="16C3D8A0" w14:textId="77777777" w:rsidR="00A747DD" w:rsidRPr="009B6C0B" w:rsidRDefault="00A747DD">
      <w:pPr>
        <w:spacing w:line="276" w:lineRule="auto"/>
        <w:rPr>
          <w:rFonts w:ascii="Museo Sans 300" w:eastAsia="Museo Sans 300" w:hAnsi="Museo Sans 300" w:cs="Museo Sans 300"/>
          <w:sz w:val="16"/>
          <w:szCs w:val="16"/>
        </w:rPr>
      </w:pPr>
    </w:p>
    <w:p w14:paraId="0A9A5181" w14:textId="195EE8C9" w:rsidR="009B6C0B" w:rsidRDefault="00255E85" w:rsidP="009B6C0B">
      <w:pPr>
        <w:spacing w:after="240"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sz w:val="22"/>
          <w:szCs w:val="22"/>
        </w:rPr>
        <w:t>El pago de intereses ascendió a $1,755.9 millones, de los cuales $108.3 millones corresponden a deuda de corto plazo y $1,647.6 millones corresponden a deuda de mediano y largo plazo que incluye $921.0 millones de Bonos internos y externos y $165.7 millones de COP.</w:t>
      </w:r>
    </w:p>
    <w:p w14:paraId="69152369" w14:textId="77777777" w:rsidR="009B6C0B" w:rsidRDefault="009B6C0B">
      <w:pPr>
        <w:rPr>
          <w:rFonts w:ascii="Museo Sans 300" w:eastAsia="Museo Sans 300" w:hAnsi="Museo Sans 300" w:cs="Museo Sans 300"/>
          <w:sz w:val="22"/>
          <w:szCs w:val="22"/>
        </w:rPr>
      </w:pPr>
      <w:r>
        <w:rPr>
          <w:rFonts w:ascii="Museo Sans 300" w:eastAsia="Museo Sans 300" w:hAnsi="Museo Sans 300" w:cs="Museo Sans 300"/>
          <w:sz w:val="22"/>
          <w:szCs w:val="22"/>
        </w:rPr>
        <w:br w:type="page"/>
      </w:r>
    </w:p>
    <w:p w14:paraId="5D357B7B" w14:textId="77777777" w:rsidR="00A747DD" w:rsidRPr="009B6C0B" w:rsidRDefault="00255E85">
      <w:pPr>
        <w:pStyle w:val="Ttulo2"/>
        <w:spacing w:line="480" w:lineRule="auto"/>
        <w:rPr>
          <w:rFonts w:ascii="Museo Sans 300" w:eastAsia="Museo Sans 300" w:hAnsi="Museo Sans 300" w:cs="Museo Sans 300"/>
        </w:rPr>
      </w:pPr>
      <w:bookmarkStart w:id="32" w:name="_Toc243319597"/>
      <w:r w:rsidRPr="009B6C0B">
        <w:rPr>
          <w:rFonts w:ascii="Museo Sans 300" w:eastAsia="Museo Sans 300" w:hAnsi="Museo Sans 300" w:cs="Museo Sans 300"/>
        </w:rPr>
        <w:lastRenderedPageBreak/>
        <w:t>4. Resultados Globales del SPNF</w:t>
      </w:r>
      <w:r w:rsidRPr="009B6C0B">
        <w:rPr>
          <w:rFonts w:ascii="Museo Sans 300" w:eastAsia="Museo Sans 300" w:hAnsi="Museo Sans 300" w:cs="Museo Sans 300"/>
          <w:vertAlign w:val="superscript"/>
        </w:rPr>
        <w:footnoteReference w:id="4"/>
      </w:r>
      <w:bookmarkEnd w:id="32"/>
      <w:r w:rsidRPr="009B6C0B">
        <w:rPr>
          <w:rFonts w:ascii="Museo Sans 300" w:eastAsia="Museo Sans 300" w:hAnsi="Museo Sans 300" w:cs="Museo Sans 300"/>
        </w:rPr>
        <w:t xml:space="preserve"> </w:t>
      </w:r>
    </w:p>
    <w:p w14:paraId="67CF11AC" w14:textId="77777777" w:rsidR="00A747DD" w:rsidRPr="009B6C0B" w:rsidRDefault="00255E85">
      <w:pPr>
        <w:pStyle w:val="Ttulo3"/>
        <w:spacing w:line="480" w:lineRule="auto"/>
        <w:rPr>
          <w:rFonts w:ascii="Museo Sans 300" w:eastAsia="Museo Sans 300" w:hAnsi="Museo Sans 300" w:cs="Museo Sans 300"/>
        </w:rPr>
      </w:pPr>
      <w:r w:rsidRPr="009B6C0B">
        <w:rPr>
          <w:rFonts w:ascii="Museo Sans 300" w:eastAsia="Museo Sans 300" w:hAnsi="Museo Sans 300" w:cs="Museo Sans 300"/>
        </w:rPr>
        <w:t xml:space="preserve"> </w:t>
      </w:r>
      <w:bookmarkStart w:id="33" w:name="_Toc243319598"/>
      <w:r w:rsidRPr="009B6C0B">
        <w:rPr>
          <w:rFonts w:ascii="Museo Sans 300" w:eastAsia="Museo Sans 300" w:hAnsi="Museo Sans 300" w:cs="Museo Sans 300"/>
        </w:rPr>
        <w:t>4.1 Balance Primario</w:t>
      </w:r>
      <w:bookmarkEnd w:id="33"/>
      <w:r w:rsidRPr="009B6C0B">
        <w:rPr>
          <w:rFonts w:ascii="Museo Sans 300" w:eastAsia="Museo Sans 300" w:hAnsi="Museo Sans 300" w:cs="Museo Sans 300"/>
        </w:rPr>
        <w:t xml:space="preserve"> </w:t>
      </w:r>
    </w:p>
    <w:p w14:paraId="450B2EED" w14:textId="0E38BA52" w:rsidR="00A747DD" w:rsidRPr="009B6C0B" w:rsidRDefault="00255E85" w:rsidP="009B6C0B">
      <w:pPr>
        <w:spacing w:after="240"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bookmarkStart w:id="34" w:name="_m71bq4ybpb77" w:colFirst="0" w:colLast="0"/>
      <w:bookmarkEnd w:id="34"/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El balance primario obtuvo un superávit primario con pensiones de $705.6 millones, equivalente a 1.9% del PIB, con ese resultado se cumplió con la meta establecida para el año 2025 en el Acuerdo con el FMI. </w:t>
      </w:r>
    </w:p>
    <w:p w14:paraId="72E8E8DF" w14:textId="31508B12" w:rsidR="00A747DD" w:rsidRPr="009B6C0B" w:rsidRDefault="00255E85" w:rsidP="00A23FAA">
      <w:pPr>
        <w:spacing w:after="240" w:line="276" w:lineRule="auto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i/>
          <w:iCs/>
          <w:sz w:val="22"/>
          <w:szCs w:val="22"/>
        </w:rPr>
        <w:t>Gráfico 7 Balance Primario del SPNF a diciembre 2020 -2025</w:t>
      </w:r>
      <w:r w:rsidRPr="009B6C0B">
        <w:rPr>
          <w:rFonts w:ascii="Museo Sans 300" w:eastAsia="Museo Sans 300" w:hAnsi="Museo Sans 300" w:cs="Museo Sans 300"/>
          <w:sz w:val="22"/>
          <w:szCs w:val="22"/>
        </w:rPr>
        <w:t xml:space="preserve"> </w:t>
      </w:r>
    </w:p>
    <w:p w14:paraId="6C3ABA68" w14:textId="77777777" w:rsidR="005B6518" w:rsidRPr="009B6C0B" w:rsidRDefault="005B6518" w:rsidP="004A168E">
      <w:pPr>
        <w:spacing w:line="276" w:lineRule="auto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  <w:r w:rsidRPr="009B6C0B">
        <w:rPr>
          <w:rFonts w:ascii="Museo Sans 300" w:hAnsi="Museo Sans 300"/>
          <w:noProof/>
        </w:rPr>
        <w:drawing>
          <wp:inline distT="0" distB="0" distL="0" distR="0" wp14:anchorId="17B4D369" wp14:editId="239D382B">
            <wp:extent cx="5614670" cy="4234543"/>
            <wp:effectExtent l="0" t="0" r="5080" b="0"/>
            <wp:docPr id="31" name="Gráfico 3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000-00005B46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40E0A50" w14:textId="77777777" w:rsidR="00A747DD" w:rsidRPr="009B6C0B" w:rsidRDefault="00255E85" w:rsidP="009B6C0B">
      <w:pPr>
        <w:spacing w:after="240"/>
        <w:rPr>
          <w:rFonts w:ascii="Museo Sans 300" w:hAnsi="Museo Sans 300"/>
        </w:rPr>
      </w:pPr>
      <w:r w:rsidRPr="009B6C0B">
        <w:rPr>
          <w:rFonts w:ascii="Museo Sans 300" w:hAnsi="Museo Sans 300"/>
        </w:rPr>
        <w:t>Fuente: Ministerio de Hacienda</w:t>
      </w:r>
    </w:p>
    <w:p w14:paraId="49AE7382" w14:textId="6CA82C42" w:rsidR="00A747DD" w:rsidRPr="009B6C0B" w:rsidRDefault="00255E85">
      <w:pPr>
        <w:pStyle w:val="Ttulo3"/>
        <w:spacing w:line="480" w:lineRule="auto"/>
        <w:rPr>
          <w:rFonts w:ascii="Museo Sans 300" w:eastAsia="Museo Sans 300" w:hAnsi="Museo Sans 300" w:cs="Museo Sans 300"/>
        </w:rPr>
      </w:pPr>
      <w:bookmarkStart w:id="35" w:name="_Toc243319599"/>
      <w:r w:rsidRPr="009B6C0B">
        <w:rPr>
          <w:rFonts w:ascii="Museo Sans 300" w:eastAsia="Museo Sans 300" w:hAnsi="Museo Sans 300" w:cs="Museo Sans 300"/>
        </w:rPr>
        <w:t xml:space="preserve">4.2 Balance </w:t>
      </w:r>
      <w:r w:rsidR="00CB08B7">
        <w:rPr>
          <w:rFonts w:ascii="Museo Sans 300" w:eastAsia="Museo Sans 300" w:hAnsi="Museo Sans 300" w:cs="Museo Sans 300"/>
        </w:rPr>
        <w:t>G</w:t>
      </w:r>
      <w:r w:rsidRPr="009B6C0B">
        <w:rPr>
          <w:rFonts w:ascii="Museo Sans 300" w:eastAsia="Museo Sans 300" w:hAnsi="Museo Sans 300" w:cs="Museo Sans 300"/>
        </w:rPr>
        <w:t>lobal</w:t>
      </w:r>
      <w:bookmarkEnd w:id="35"/>
      <w:r w:rsidRPr="009B6C0B">
        <w:rPr>
          <w:rFonts w:ascii="Museo Sans 300" w:eastAsia="Museo Sans 300" w:hAnsi="Museo Sans 300" w:cs="Museo Sans 300"/>
        </w:rPr>
        <w:t xml:space="preserve"> </w:t>
      </w:r>
    </w:p>
    <w:p w14:paraId="449210E7" w14:textId="77777777" w:rsidR="00A747DD" w:rsidRPr="009B6C0B" w:rsidRDefault="00255E85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  <w:bookmarkStart w:id="36" w:name="_h9p72wk3nbi7" w:colFirst="0" w:colLast="0"/>
      <w:bookmarkEnd w:id="36"/>
      <w:r w:rsidRPr="009B6C0B">
        <w:rPr>
          <w:rFonts w:ascii="Museo Sans 300" w:eastAsia="Museo Sans 300" w:hAnsi="Museo Sans 300" w:cs="Museo Sans 300"/>
          <w:sz w:val="22"/>
          <w:szCs w:val="22"/>
        </w:rPr>
        <w:t>El Balance Fiscal del SPN</w:t>
      </w:r>
      <w:bookmarkStart w:id="37" w:name="_GoBack"/>
      <w:bookmarkEnd w:id="37"/>
      <w:r w:rsidRPr="009B6C0B">
        <w:rPr>
          <w:rFonts w:ascii="Museo Sans 300" w:eastAsia="Museo Sans 300" w:hAnsi="Museo Sans 300" w:cs="Museo Sans 300"/>
          <w:sz w:val="22"/>
          <w:szCs w:val="22"/>
        </w:rPr>
        <w:t>F consolidado al mes de diciembre de 2025, presenta un déficit con pensiones de $1,050.3 millones, menor en $558.6 millones a los resultados del mes de diciembre de 2024. En términos del PIB fue equivalente al -2.9% del PIB, siendo menor en 1.6 puntos del PIB con relación a diciembre de 2024.</w:t>
      </w:r>
    </w:p>
    <w:p w14:paraId="329F3D1E" w14:textId="77777777" w:rsidR="00A747DD" w:rsidRPr="009B6C0B" w:rsidRDefault="00A747DD">
      <w:pPr>
        <w:spacing w:line="276" w:lineRule="auto"/>
        <w:jc w:val="both"/>
        <w:rPr>
          <w:rFonts w:ascii="Museo Sans 300" w:eastAsia="Museo Sans 300" w:hAnsi="Museo Sans 300" w:cs="Museo Sans 300"/>
          <w:sz w:val="22"/>
          <w:szCs w:val="22"/>
        </w:rPr>
      </w:pPr>
    </w:p>
    <w:p w14:paraId="21F88184" w14:textId="77777777" w:rsidR="00A747DD" w:rsidRPr="009B6C0B" w:rsidRDefault="00255E85" w:rsidP="00A23FAA">
      <w:pPr>
        <w:spacing w:after="240" w:line="276" w:lineRule="auto"/>
        <w:rPr>
          <w:rFonts w:ascii="Museo Sans 300" w:eastAsia="Museo Sans 300" w:hAnsi="Museo Sans 300" w:cs="Museo Sans 300"/>
          <w:sz w:val="22"/>
          <w:szCs w:val="22"/>
        </w:rPr>
      </w:pPr>
      <w:bookmarkStart w:id="38" w:name="_11203s1drafo" w:colFirst="0" w:colLast="0"/>
      <w:bookmarkEnd w:id="38"/>
      <w:r w:rsidRPr="009B6C0B">
        <w:rPr>
          <w:rFonts w:ascii="Museo Sans 300" w:eastAsia="Museo Sans 300" w:hAnsi="Museo Sans 300" w:cs="Museo Sans 300"/>
          <w:i/>
          <w:iCs/>
          <w:sz w:val="22"/>
          <w:szCs w:val="22"/>
        </w:rPr>
        <w:lastRenderedPageBreak/>
        <w:t xml:space="preserve">Gráfico 8: Balance Global del SPNF a diciembre 2020 -2025 </w:t>
      </w:r>
    </w:p>
    <w:p w14:paraId="2BEAB599" w14:textId="77777777" w:rsidR="005B6518" w:rsidRPr="009B6C0B" w:rsidRDefault="005B6518">
      <w:pPr>
        <w:spacing w:line="276" w:lineRule="auto"/>
        <w:jc w:val="center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hAnsi="Museo Sans 300"/>
          <w:noProof/>
        </w:rPr>
        <w:drawing>
          <wp:inline distT="0" distB="0" distL="0" distR="0" wp14:anchorId="39C74000" wp14:editId="1D3CEC5D">
            <wp:extent cx="5614670" cy="3368675"/>
            <wp:effectExtent l="0" t="0" r="5080" b="3175"/>
            <wp:docPr id="32" name="Gráfico 3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F00-00005B42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66457BAE" w14:textId="77777777" w:rsidR="00A747DD" w:rsidRPr="009B6C0B" w:rsidRDefault="00A747DD">
      <w:pPr>
        <w:rPr>
          <w:rFonts w:ascii="Museo Sans 300" w:hAnsi="Museo Sans 300"/>
        </w:rPr>
      </w:pPr>
    </w:p>
    <w:p w14:paraId="24F7ADCC" w14:textId="77777777" w:rsidR="009B6C0B" w:rsidRPr="009B6C0B" w:rsidRDefault="009B6C0B" w:rsidP="009B6C0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32"/>
        <w:jc w:val="both"/>
        <w:rPr>
          <w:rFonts w:ascii="Museo Sans 300" w:eastAsia="Museo Sans 300" w:hAnsi="Museo Sans 300" w:cs="Museo Sans 300"/>
          <w:color w:val="000000"/>
          <w:sz w:val="18"/>
          <w:szCs w:val="18"/>
        </w:rPr>
      </w:pPr>
      <w:r w:rsidRPr="009B6C0B">
        <w:rPr>
          <w:rFonts w:ascii="Museo Sans 300" w:eastAsia="Museo Sans 300" w:hAnsi="Museo Sans 300" w:cs="Museo Sans 300"/>
          <w:color w:val="000000"/>
          <w:sz w:val="18"/>
          <w:szCs w:val="18"/>
        </w:rPr>
        <w:t>Fuente: Ministerio de Hacienda</w:t>
      </w:r>
    </w:p>
    <w:p w14:paraId="2D6A22F8" w14:textId="77777777" w:rsidR="00A747DD" w:rsidRPr="009B6C0B" w:rsidRDefault="00A747DD">
      <w:pPr>
        <w:pStyle w:val="Ttulo2"/>
        <w:spacing w:line="480" w:lineRule="auto"/>
        <w:rPr>
          <w:rFonts w:ascii="Museo Sans 300" w:eastAsia="Museo Sans 300" w:hAnsi="Museo Sans 300" w:cs="Museo Sans 300"/>
        </w:rPr>
      </w:pPr>
    </w:p>
    <w:p w14:paraId="5BCC6067" w14:textId="77777777" w:rsidR="00A747DD" w:rsidRPr="009B6C0B" w:rsidRDefault="00A747DD">
      <w:pPr>
        <w:rPr>
          <w:rFonts w:ascii="Museo Sans 300" w:eastAsia="Museo Sans 300" w:hAnsi="Museo Sans 300" w:cs="Museo Sans 300"/>
          <w:sz w:val="22"/>
          <w:szCs w:val="22"/>
        </w:rPr>
      </w:pPr>
    </w:p>
    <w:p w14:paraId="4A9B473A" w14:textId="77777777" w:rsidR="00A747DD" w:rsidRPr="009B6C0B" w:rsidRDefault="00A747DD">
      <w:pPr>
        <w:rPr>
          <w:rFonts w:ascii="Museo Sans 300" w:eastAsia="Museo Sans 300" w:hAnsi="Museo Sans 300" w:cs="Museo Sans 300"/>
          <w:sz w:val="22"/>
          <w:szCs w:val="22"/>
        </w:rPr>
      </w:pPr>
    </w:p>
    <w:p w14:paraId="420866EB" w14:textId="77777777" w:rsidR="00A747DD" w:rsidRPr="009B6C0B" w:rsidRDefault="00A747DD">
      <w:pPr>
        <w:rPr>
          <w:rFonts w:ascii="Museo Sans 300" w:eastAsia="Museo Sans 300" w:hAnsi="Museo Sans 300" w:cs="Museo Sans 300"/>
          <w:sz w:val="22"/>
          <w:szCs w:val="22"/>
        </w:rPr>
      </w:pPr>
    </w:p>
    <w:p w14:paraId="57611FF5" w14:textId="77777777" w:rsidR="00A747DD" w:rsidRPr="009B6C0B" w:rsidRDefault="00A747DD">
      <w:pPr>
        <w:rPr>
          <w:rFonts w:ascii="Museo Sans 300" w:eastAsia="Museo Sans 300" w:hAnsi="Museo Sans 300" w:cs="Museo Sans 300"/>
          <w:sz w:val="22"/>
          <w:szCs w:val="22"/>
        </w:rPr>
      </w:pPr>
    </w:p>
    <w:p w14:paraId="4413EAFF" w14:textId="77777777" w:rsidR="00A747DD" w:rsidRPr="009B6C0B" w:rsidRDefault="00A747DD">
      <w:pPr>
        <w:rPr>
          <w:rFonts w:ascii="Museo Sans 300" w:eastAsia="Museo Sans 300" w:hAnsi="Museo Sans 300" w:cs="Museo Sans 300"/>
          <w:sz w:val="22"/>
          <w:szCs w:val="22"/>
        </w:rPr>
      </w:pPr>
    </w:p>
    <w:p w14:paraId="4B2B0F2E" w14:textId="77777777" w:rsidR="00A747DD" w:rsidRPr="009B6C0B" w:rsidRDefault="00A747DD">
      <w:pPr>
        <w:rPr>
          <w:rFonts w:ascii="Museo Sans 300" w:eastAsia="Museo Sans 300" w:hAnsi="Museo Sans 300" w:cs="Museo Sans 300"/>
          <w:sz w:val="22"/>
          <w:szCs w:val="22"/>
        </w:rPr>
      </w:pPr>
    </w:p>
    <w:p w14:paraId="4DF229AF" w14:textId="77777777" w:rsidR="00A747DD" w:rsidRPr="009B6C0B" w:rsidRDefault="00255E85">
      <w:pPr>
        <w:spacing w:after="160" w:line="259" w:lineRule="auto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hAnsi="Museo Sans 300"/>
        </w:rPr>
        <w:br w:type="page"/>
      </w:r>
    </w:p>
    <w:p w14:paraId="5E35ED79" w14:textId="77777777" w:rsidR="00A747DD" w:rsidRPr="009B6C0B" w:rsidRDefault="00255E85">
      <w:pPr>
        <w:pStyle w:val="Ttulo2"/>
        <w:spacing w:line="480" w:lineRule="auto"/>
        <w:rPr>
          <w:rFonts w:ascii="Museo Sans 300" w:eastAsia="Museo Sans 300" w:hAnsi="Museo Sans 300" w:cs="Museo Sans 300"/>
          <w:i/>
          <w:iCs/>
        </w:rPr>
      </w:pPr>
      <w:bookmarkStart w:id="39" w:name="_Toc243319600"/>
      <w:r w:rsidRPr="009B6C0B">
        <w:rPr>
          <w:rFonts w:ascii="Museo Sans 300" w:eastAsia="Museo Sans 300" w:hAnsi="Museo Sans 300" w:cs="Museo Sans 300"/>
        </w:rPr>
        <w:lastRenderedPageBreak/>
        <w:t>5. Anexos.</w:t>
      </w:r>
      <w:bookmarkEnd w:id="39"/>
    </w:p>
    <w:p w14:paraId="55E41F0F" w14:textId="77777777" w:rsidR="00A747DD" w:rsidRPr="009B6C0B" w:rsidRDefault="00A747DD">
      <w:pPr>
        <w:spacing w:line="276" w:lineRule="auto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</w:p>
    <w:p w14:paraId="2B887611" w14:textId="77777777" w:rsidR="00A747DD" w:rsidRPr="009B6C0B" w:rsidRDefault="00255E85">
      <w:pPr>
        <w:spacing w:line="276" w:lineRule="auto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  <w:r w:rsidRPr="009B6C0B">
        <w:rPr>
          <w:rFonts w:ascii="Museo Sans 300" w:eastAsia="Museo Sans 300" w:hAnsi="Museo Sans 300" w:cs="Museo Sans 300"/>
          <w:i/>
          <w:iCs/>
          <w:sz w:val="22"/>
          <w:szCs w:val="22"/>
        </w:rPr>
        <w:t>Anexo 1:</w:t>
      </w:r>
    </w:p>
    <w:p w14:paraId="2D262811" w14:textId="77777777" w:rsidR="00A747DD" w:rsidRPr="009B6C0B" w:rsidRDefault="00255E85">
      <w:pPr>
        <w:spacing w:line="276" w:lineRule="auto"/>
        <w:jc w:val="center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i/>
          <w:iCs/>
          <w:sz w:val="22"/>
          <w:szCs w:val="22"/>
        </w:rPr>
        <w:t xml:space="preserve"> Ingresos Totales del Sector Público No Financiero a diciembre 2025-2024</w:t>
      </w:r>
    </w:p>
    <w:p w14:paraId="2BDBEF5D" w14:textId="77777777" w:rsidR="00A747DD" w:rsidRPr="009B6C0B" w:rsidRDefault="00255E85" w:rsidP="00D0041A">
      <w:pPr>
        <w:spacing w:after="240" w:line="276" w:lineRule="auto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  <w:r w:rsidRPr="009B6C0B">
        <w:rPr>
          <w:rFonts w:ascii="Museo Sans 300" w:eastAsia="Museo Sans 300" w:hAnsi="Museo Sans 300" w:cs="Museo Sans 300"/>
          <w:i/>
          <w:iCs/>
          <w:sz w:val="22"/>
          <w:szCs w:val="22"/>
        </w:rPr>
        <w:t>(Millones $)</w:t>
      </w:r>
    </w:p>
    <w:p w14:paraId="2F7A9ECC" w14:textId="77777777" w:rsidR="00A747DD" w:rsidRPr="009B6C0B" w:rsidRDefault="00D0041A">
      <w:pPr>
        <w:spacing w:line="276" w:lineRule="auto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  <w:r w:rsidRPr="009B6C0B">
        <w:rPr>
          <w:rFonts w:ascii="Museo Sans 300" w:hAnsi="Museo Sans 300"/>
          <w:noProof/>
        </w:rPr>
        <w:drawing>
          <wp:inline distT="0" distB="0" distL="0" distR="0" wp14:anchorId="0B783C27" wp14:editId="1EA858C5">
            <wp:extent cx="5614670" cy="5213407"/>
            <wp:effectExtent l="0" t="0" r="5080" b="6350"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670" cy="5213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AD40D" w14:textId="77777777" w:rsidR="00A747DD" w:rsidRPr="009B6C0B" w:rsidRDefault="00A747DD">
      <w:pPr>
        <w:spacing w:line="276" w:lineRule="auto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</w:p>
    <w:p w14:paraId="1C15A555" w14:textId="77777777" w:rsidR="00A747DD" w:rsidRPr="009B6C0B" w:rsidRDefault="00A747DD">
      <w:pPr>
        <w:spacing w:line="276" w:lineRule="auto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</w:p>
    <w:p w14:paraId="0574609C" w14:textId="77777777" w:rsidR="00A747DD" w:rsidRPr="009B6C0B" w:rsidRDefault="00A747DD">
      <w:pPr>
        <w:spacing w:line="276" w:lineRule="auto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</w:p>
    <w:p w14:paraId="5CAAF306" w14:textId="77777777" w:rsidR="00A747DD" w:rsidRPr="009B6C0B" w:rsidRDefault="00A747DD">
      <w:pPr>
        <w:spacing w:line="276" w:lineRule="auto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</w:p>
    <w:p w14:paraId="253A096B" w14:textId="190181E3" w:rsidR="009B6C0B" w:rsidRDefault="009B6C0B">
      <w:pPr>
        <w:rPr>
          <w:rFonts w:ascii="Museo Sans 300" w:eastAsia="Museo Sans 300" w:hAnsi="Museo Sans 300" w:cs="Museo Sans 300"/>
          <w:i/>
          <w:iCs/>
          <w:sz w:val="22"/>
          <w:szCs w:val="22"/>
        </w:rPr>
      </w:pPr>
      <w:r>
        <w:rPr>
          <w:rFonts w:ascii="Museo Sans 300" w:eastAsia="Museo Sans 300" w:hAnsi="Museo Sans 300" w:cs="Museo Sans 300"/>
          <w:i/>
          <w:iCs/>
          <w:sz w:val="22"/>
          <w:szCs w:val="22"/>
        </w:rPr>
        <w:br w:type="page"/>
      </w:r>
    </w:p>
    <w:p w14:paraId="54744D2F" w14:textId="77777777" w:rsidR="00A747DD" w:rsidRPr="009B6C0B" w:rsidRDefault="00255E85">
      <w:pPr>
        <w:spacing w:line="276" w:lineRule="auto"/>
        <w:jc w:val="center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i/>
          <w:iCs/>
          <w:sz w:val="22"/>
          <w:szCs w:val="22"/>
        </w:rPr>
        <w:lastRenderedPageBreak/>
        <w:t>Anexo 2:</w:t>
      </w:r>
    </w:p>
    <w:p w14:paraId="0CC1F897" w14:textId="77777777" w:rsidR="00A747DD" w:rsidRPr="009B6C0B" w:rsidRDefault="00255E85">
      <w:pPr>
        <w:spacing w:line="276" w:lineRule="auto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  <w:r w:rsidRPr="009B6C0B">
        <w:rPr>
          <w:rFonts w:ascii="Museo Sans 300" w:eastAsia="Museo Sans 300" w:hAnsi="Museo Sans 300" w:cs="Museo Sans 300"/>
          <w:i/>
          <w:iCs/>
          <w:sz w:val="22"/>
          <w:szCs w:val="22"/>
        </w:rPr>
        <w:t>Ejecución del SPNF a diciembre 2025 - 2024</w:t>
      </w:r>
    </w:p>
    <w:p w14:paraId="086A7DA5" w14:textId="77777777" w:rsidR="00A747DD" w:rsidRPr="009B6C0B" w:rsidRDefault="00255E85">
      <w:pPr>
        <w:spacing w:after="240" w:line="276" w:lineRule="auto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  <w:r w:rsidRPr="009B6C0B">
        <w:rPr>
          <w:rFonts w:ascii="Museo Sans 300" w:eastAsia="Museo Sans 300" w:hAnsi="Museo Sans 300" w:cs="Museo Sans 300"/>
          <w:i/>
          <w:iCs/>
          <w:sz w:val="22"/>
          <w:szCs w:val="22"/>
        </w:rPr>
        <w:t>(En millones de $)</w:t>
      </w:r>
    </w:p>
    <w:tbl>
      <w:tblPr>
        <w:tblW w:w="5557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2453"/>
        <w:gridCol w:w="1910"/>
        <w:gridCol w:w="877"/>
        <w:gridCol w:w="877"/>
        <w:gridCol w:w="1502"/>
        <w:gridCol w:w="1294"/>
        <w:gridCol w:w="159"/>
        <w:gridCol w:w="159"/>
        <w:gridCol w:w="159"/>
      </w:tblGrid>
      <w:tr w:rsidR="004001FA" w:rsidRPr="009B6C0B" w14:paraId="0BD6DC98" w14:textId="77777777" w:rsidTr="004001FA">
        <w:trPr>
          <w:gridAfter w:val="3"/>
          <w:wAfter w:w="243" w:type="pct"/>
          <w:trHeight w:val="418"/>
        </w:trPr>
        <w:tc>
          <w:tcPr>
            <w:tcW w:w="2437" w:type="pct"/>
            <w:gridSpan w:val="3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426BB1"/>
            <w:noWrap/>
            <w:vAlign w:val="bottom"/>
            <w:hideMark/>
          </w:tcPr>
          <w:p w14:paraId="7862CCAC" w14:textId="77777777" w:rsidR="005B6518" w:rsidRPr="005B6518" w:rsidRDefault="005B6518" w:rsidP="005B6518">
            <w:pPr>
              <w:jc w:val="center"/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szCs w:val="22"/>
                <w:lang w:val="es-SV"/>
              </w:rPr>
              <w:t>TRANSACCIONES</w:t>
            </w:r>
          </w:p>
        </w:tc>
        <w:tc>
          <w:tcPr>
            <w:tcW w:w="447" w:type="pct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426BB1"/>
            <w:noWrap/>
            <w:vAlign w:val="bottom"/>
            <w:hideMark/>
          </w:tcPr>
          <w:p w14:paraId="0152E95C" w14:textId="77777777" w:rsidR="005B6518" w:rsidRPr="005B6518" w:rsidRDefault="005B6518" w:rsidP="005B6518">
            <w:pPr>
              <w:jc w:val="center"/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szCs w:val="22"/>
                <w:lang w:val="es-SV"/>
              </w:rPr>
            </w:pPr>
            <w:proofErr w:type="spellStart"/>
            <w:r w:rsidRPr="005B6518"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szCs w:val="22"/>
                <w:lang w:val="es-SV"/>
              </w:rPr>
              <w:t>Ejec</w:t>
            </w:r>
            <w:proofErr w:type="spellEnd"/>
            <w:r w:rsidRPr="005B6518"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szCs w:val="22"/>
                <w:lang w:val="es-SV"/>
              </w:rPr>
              <w:t>.</w:t>
            </w:r>
          </w:p>
        </w:tc>
        <w:tc>
          <w:tcPr>
            <w:tcW w:w="447" w:type="pct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426BB1"/>
            <w:noWrap/>
            <w:vAlign w:val="bottom"/>
            <w:hideMark/>
          </w:tcPr>
          <w:p w14:paraId="64CF2019" w14:textId="77777777" w:rsidR="005B6518" w:rsidRPr="005B6518" w:rsidRDefault="005B6518" w:rsidP="005B6518">
            <w:pPr>
              <w:jc w:val="center"/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szCs w:val="22"/>
                <w:lang w:val="es-SV"/>
              </w:rPr>
            </w:pPr>
            <w:proofErr w:type="spellStart"/>
            <w:r w:rsidRPr="005B6518"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szCs w:val="22"/>
                <w:lang w:val="es-SV"/>
              </w:rPr>
              <w:t>Ejec</w:t>
            </w:r>
            <w:proofErr w:type="spellEnd"/>
            <w:r w:rsidRPr="005B6518"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szCs w:val="22"/>
                <w:lang w:val="es-SV"/>
              </w:rPr>
              <w:t>.</w:t>
            </w:r>
          </w:p>
        </w:tc>
        <w:tc>
          <w:tcPr>
            <w:tcW w:w="766" w:type="pct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000000" w:fill="426BB1"/>
            <w:vAlign w:val="bottom"/>
            <w:hideMark/>
          </w:tcPr>
          <w:p w14:paraId="790F4954" w14:textId="77777777" w:rsidR="005B6518" w:rsidRPr="005B6518" w:rsidRDefault="005B6518" w:rsidP="005B6518">
            <w:pPr>
              <w:jc w:val="center"/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szCs w:val="22"/>
                <w:lang w:val="es-SV"/>
              </w:rPr>
            </w:pPr>
            <w:proofErr w:type="spellStart"/>
            <w:r w:rsidRPr="005B6518"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szCs w:val="22"/>
                <w:lang w:val="es-SV"/>
              </w:rPr>
              <w:t>Variac</w:t>
            </w:r>
            <w:proofErr w:type="spellEnd"/>
            <w:r w:rsidRPr="005B6518"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szCs w:val="22"/>
                <w:lang w:val="es-SV"/>
              </w:rPr>
              <w:t>. Absolutas</w:t>
            </w:r>
          </w:p>
        </w:tc>
        <w:tc>
          <w:tcPr>
            <w:tcW w:w="660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426BB1"/>
            <w:vAlign w:val="bottom"/>
            <w:hideMark/>
          </w:tcPr>
          <w:p w14:paraId="5A7D168C" w14:textId="77777777" w:rsidR="005B6518" w:rsidRPr="005B6518" w:rsidRDefault="005B6518" w:rsidP="005B6518">
            <w:pPr>
              <w:jc w:val="center"/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szCs w:val="22"/>
                <w:lang w:val="es-SV"/>
              </w:rPr>
              <w:t>Variaciones %</w:t>
            </w:r>
          </w:p>
        </w:tc>
      </w:tr>
      <w:tr w:rsidR="004001FA" w:rsidRPr="009B6C0B" w14:paraId="1F0DCC50" w14:textId="77777777" w:rsidTr="004001FA">
        <w:trPr>
          <w:gridAfter w:val="3"/>
          <w:wAfter w:w="243" w:type="pct"/>
          <w:trHeight w:val="244"/>
        </w:trPr>
        <w:tc>
          <w:tcPr>
            <w:tcW w:w="212" w:type="pct"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shd w:val="clear" w:color="000000" w:fill="426BB1"/>
            <w:noWrap/>
            <w:vAlign w:val="bottom"/>
            <w:hideMark/>
          </w:tcPr>
          <w:p w14:paraId="4CD95DA1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szCs w:val="22"/>
                <w:lang w:val="es-SV"/>
              </w:rPr>
              <w:t> 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426BB1"/>
            <w:noWrap/>
            <w:vAlign w:val="bottom"/>
            <w:hideMark/>
          </w:tcPr>
          <w:p w14:paraId="49E9BBFC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szCs w:val="22"/>
                <w:lang w:val="es-SV"/>
              </w:rPr>
              <w:t> </w:t>
            </w:r>
          </w:p>
        </w:tc>
        <w:tc>
          <w:tcPr>
            <w:tcW w:w="973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426BB1"/>
            <w:noWrap/>
            <w:vAlign w:val="bottom"/>
            <w:hideMark/>
          </w:tcPr>
          <w:p w14:paraId="26DD8BDD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szCs w:val="22"/>
                <w:lang w:val="es-SV"/>
              </w:rPr>
              <w:t> </w:t>
            </w:r>
          </w:p>
        </w:tc>
        <w:tc>
          <w:tcPr>
            <w:tcW w:w="447" w:type="pc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426BB1"/>
            <w:noWrap/>
            <w:vAlign w:val="center"/>
            <w:hideMark/>
          </w:tcPr>
          <w:p w14:paraId="1C4B648B" w14:textId="77777777" w:rsidR="005B6518" w:rsidRPr="005B6518" w:rsidRDefault="005B6518" w:rsidP="005B6518">
            <w:pPr>
              <w:jc w:val="center"/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szCs w:val="22"/>
                <w:lang w:val="es-SV"/>
              </w:rPr>
              <w:t xml:space="preserve">2024 </w:t>
            </w:r>
          </w:p>
        </w:tc>
        <w:tc>
          <w:tcPr>
            <w:tcW w:w="447" w:type="pc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426BB1"/>
            <w:noWrap/>
            <w:vAlign w:val="bottom"/>
            <w:hideMark/>
          </w:tcPr>
          <w:p w14:paraId="135CF85F" w14:textId="77777777" w:rsidR="005B6518" w:rsidRPr="005B6518" w:rsidRDefault="005B6518" w:rsidP="005B6518">
            <w:pPr>
              <w:jc w:val="center"/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szCs w:val="22"/>
                <w:lang w:val="es-SV"/>
              </w:rPr>
              <w:t xml:space="preserve">2025 </w:t>
            </w: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426BB1"/>
            <w:vAlign w:val="bottom"/>
            <w:hideMark/>
          </w:tcPr>
          <w:p w14:paraId="70B1201D" w14:textId="77777777" w:rsidR="005B6518" w:rsidRPr="005B6518" w:rsidRDefault="005B6518" w:rsidP="005B6518">
            <w:pPr>
              <w:jc w:val="center"/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lang w:val="es-SV"/>
              </w:rPr>
              <w:t>2025-2024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426BB1"/>
            <w:vAlign w:val="bottom"/>
            <w:hideMark/>
          </w:tcPr>
          <w:p w14:paraId="5629DCF0" w14:textId="77777777" w:rsidR="005B6518" w:rsidRPr="005B6518" w:rsidRDefault="005B6518" w:rsidP="005B6518">
            <w:pPr>
              <w:jc w:val="center"/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lang w:val="es-SV"/>
              </w:rPr>
              <w:t>2025-2024</w:t>
            </w:r>
          </w:p>
        </w:tc>
      </w:tr>
      <w:tr w:rsidR="004001FA" w:rsidRPr="009B6C0B" w14:paraId="5008EF7D" w14:textId="77777777" w:rsidTr="004001FA">
        <w:trPr>
          <w:gridAfter w:val="3"/>
          <w:wAfter w:w="243" w:type="pct"/>
          <w:trHeight w:val="128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3ECD4" w14:textId="77777777" w:rsidR="005B6518" w:rsidRPr="005B6518" w:rsidRDefault="005B6518" w:rsidP="005B6518">
            <w:pPr>
              <w:jc w:val="center"/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lang w:val="es-SV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18410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44E2C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7F190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AD34B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89DA4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47BAA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</w:tr>
      <w:tr w:rsidR="004001FA" w:rsidRPr="009B6C0B" w14:paraId="39160E2E" w14:textId="77777777" w:rsidTr="004001FA">
        <w:trPr>
          <w:gridAfter w:val="3"/>
          <w:wAfter w:w="243" w:type="pct"/>
          <w:trHeight w:val="244"/>
        </w:trPr>
        <w:tc>
          <w:tcPr>
            <w:tcW w:w="243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87A3C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I. INGRESOS Y DONACIONES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611E2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9,048.2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8ECE2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9,803.6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48C84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755.4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F8BE2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8.3</w:t>
            </w:r>
          </w:p>
        </w:tc>
      </w:tr>
      <w:tr w:rsidR="004001FA" w:rsidRPr="009B6C0B" w14:paraId="16BF57FA" w14:textId="77777777" w:rsidTr="004001FA">
        <w:trPr>
          <w:gridAfter w:val="3"/>
          <w:wAfter w:w="243" w:type="pct"/>
          <w:trHeight w:val="144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AD394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39893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12800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877B9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5A104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EE1C1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79801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</w:tr>
      <w:tr w:rsidR="004001FA" w:rsidRPr="009B6C0B" w14:paraId="7638B39C" w14:textId="77777777" w:rsidTr="004001FA">
        <w:trPr>
          <w:gridAfter w:val="3"/>
          <w:wAfter w:w="243" w:type="pct"/>
          <w:trHeight w:val="213"/>
        </w:trPr>
        <w:tc>
          <w:tcPr>
            <w:tcW w:w="243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9EBDCE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 xml:space="preserve">     A. Ingresos Corrientes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E45336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9,015.4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59347B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9,781.8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3F21E3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766.4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03B4B8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8.5</w:t>
            </w:r>
          </w:p>
        </w:tc>
      </w:tr>
      <w:tr w:rsidR="004001FA" w:rsidRPr="009B6C0B" w14:paraId="472A93C7" w14:textId="77777777" w:rsidTr="004001FA">
        <w:trPr>
          <w:gridAfter w:val="3"/>
          <w:wAfter w:w="243" w:type="pct"/>
          <w:trHeight w:val="482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784F4D6C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 </w:t>
            </w:r>
          </w:p>
        </w:tc>
        <w:tc>
          <w:tcPr>
            <w:tcW w:w="22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vAlign w:val="bottom"/>
            <w:hideMark/>
          </w:tcPr>
          <w:p w14:paraId="155A1BDA" w14:textId="77777777" w:rsidR="005B6518" w:rsidRPr="005B6518" w:rsidRDefault="005B6518" w:rsidP="004001FA">
            <w:pPr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 xml:space="preserve">1. </w:t>
            </w:r>
            <w:proofErr w:type="gramStart"/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Tributarios  (</w:t>
            </w:r>
            <w:proofErr w:type="gramEnd"/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Incluye Contribuciones Especiales)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3CEB3829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 xml:space="preserve">7,483.9 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26D65F0D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8,108.8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09094D9E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624.9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44F35C59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8.3</w:t>
            </w:r>
          </w:p>
        </w:tc>
      </w:tr>
      <w:tr w:rsidR="004001FA" w:rsidRPr="009B6C0B" w14:paraId="21C4E9A1" w14:textId="77777777" w:rsidTr="004001FA">
        <w:trPr>
          <w:gridAfter w:val="3"/>
          <w:wAfter w:w="243" w:type="pct"/>
          <w:trHeight w:val="213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42424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</w:p>
        </w:tc>
        <w:tc>
          <w:tcPr>
            <w:tcW w:w="22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B53AA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2. No Tributarios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591C0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 xml:space="preserve">1,306.3 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5494B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1,517.2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99438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210.9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7F73F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16.1</w:t>
            </w:r>
          </w:p>
        </w:tc>
      </w:tr>
      <w:tr w:rsidR="004001FA" w:rsidRPr="009B6C0B" w14:paraId="1EE7BD81" w14:textId="77777777" w:rsidTr="004001FA">
        <w:trPr>
          <w:gridAfter w:val="3"/>
          <w:wAfter w:w="243" w:type="pct"/>
          <w:trHeight w:val="213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392BE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</w:p>
        </w:tc>
        <w:tc>
          <w:tcPr>
            <w:tcW w:w="22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140EA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3. Superávit de las Empresas Públicas.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42C33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 xml:space="preserve">225.2 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0562D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155.8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6D848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-69.4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43D7C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-30.8</w:t>
            </w:r>
          </w:p>
        </w:tc>
      </w:tr>
      <w:tr w:rsidR="004001FA" w:rsidRPr="009B6C0B" w14:paraId="21FE1D9F" w14:textId="77777777" w:rsidTr="004001FA">
        <w:trPr>
          <w:gridAfter w:val="3"/>
          <w:wAfter w:w="243" w:type="pct"/>
          <w:trHeight w:val="144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DB04A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0EA17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13AB7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64776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color w:val="FFFFFF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color w:val="FFFFFF"/>
                <w:sz w:val="16"/>
                <w:szCs w:val="22"/>
                <w:lang w:val="es-SV"/>
              </w:rPr>
              <w:t>0.0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0508F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color w:val="FFFFFF"/>
                <w:sz w:val="16"/>
                <w:szCs w:val="22"/>
                <w:lang w:val="es-SV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F5DDB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08794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</w:tr>
      <w:tr w:rsidR="004001FA" w:rsidRPr="009B6C0B" w14:paraId="4837DFD4" w14:textId="77777777" w:rsidTr="004001FA">
        <w:trPr>
          <w:gridAfter w:val="3"/>
          <w:wAfter w:w="243" w:type="pct"/>
          <w:trHeight w:val="186"/>
        </w:trPr>
        <w:tc>
          <w:tcPr>
            <w:tcW w:w="243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322F9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 xml:space="preserve">     B. Ingresos de Capital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16580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FBE6E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9877D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F6DE5" w14:textId="77777777" w:rsidR="005B6518" w:rsidRPr="005B6518" w:rsidRDefault="005B6518" w:rsidP="005B6518">
            <w:pPr>
              <w:jc w:val="center"/>
              <w:rPr>
                <w:rFonts w:ascii="Museo Sans 300" w:eastAsia="Times New Roman" w:hAnsi="Museo Sans 300" w:cs="Arial"/>
                <w:color w:val="FFFFFF"/>
                <w:sz w:val="16"/>
                <w:szCs w:val="22"/>
                <w:lang w:val="es-SV"/>
              </w:rPr>
            </w:pPr>
            <w:proofErr w:type="gramStart"/>
            <w:r w:rsidRPr="005B6518">
              <w:rPr>
                <w:rFonts w:ascii="Museo Sans 300" w:eastAsia="Times New Roman" w:hAnsi="Museo Sans 300" w:cs="Arial"/>
                <w:color w:val="FFFFFF"/>
                <w:sz w:val="16"/>
                <w:szCs w:val="22"/>
                <w:lang w:val="es-SV"/>
              </w:rPr>
              <w:t>#¡</w:t>
            </w:r>
            <w:proofErr w:type="gramEnd"/>
            <w:r w:rsidRPr="005B6518">
              <w:rPr>
                <w:rFonts w:ascii="Museo Sans 300" w:eastAsia="Times New Roman" w:hAnsi="Museo Sans 300" w:cs="Arial"/>
                <w:color w:val="FFFFFF"/>
                <w:sz w:val="16"/>
                <w:szCs w:val="22"/>
                <w:lang w:val="es-SV"/>
              </w:rPr>
              <w:t>DIV/0!</w:t>
            </w:r>
          </w:p>
        </w:tc>
      </w:tr>
      <w:tr w:rsidR="004001FA" w:rsidRPr="009B6C0B" w14:paraId="1ED91609" w14:textId="77777777" w:rsidTr="004001FA">
        <w:trPr>
          <w:gridAfter w:val="3"/>
          <w:wAfter w:w="243" w:type="pct"/>
          <w:trHeight w:val="224"/>
        </w:trPr>
        <w:tc>
          <w:tcPr>
            <w:tcW w:w="243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A8C0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 xml:space="preserve">     C. Donaciones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09454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 xml:space="preserve">32.9 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75EC3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21.9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B4F9B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-11.0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9D54F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-33.5</w:t>
            </w:r>
          </w:p>
        </w:tc>
      </w:tr>
      <w:tr w:rsidR="004001FA" w:rsidRPr="009B6C0B" w14:paraId="51CB9C60" w14:textId="77777777" w:rsidTr="004001FA">
        <w:trPr>
          <w:gridAfter w:val="3"/>
          <w:wAfter w:w="243" w:type="pct"/>
          <w:trHeight w:val="119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F2520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FE589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5995B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8F0C8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9EF63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194CA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5CB78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</w:tr>
      <w:tr w:rsidR="004001FA" w:rsidRPr="009B6C0B" w14:paraId="761E1B3C" w14:textId="77777777" w:rsidTr="004001FA">
        <w:trPr>
          <w:gridAfter w:val="3"/>
          <w:wAfter w:w="243" w:type="pct"/>
          <w:trHeight w:val="244"/>
        </w:trPr>
        <w:tc>
          <w:tcPr>
            <w:tcW w:w="243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AEA4B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II. GASTOS Y CONCESION NETA DE PTMOS.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AE36F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10,657.1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40F42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10,853.9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A5395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196.8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55798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1.8</w:t>
            </w:r>
          </w:p>
        </w:tc>
      </w:tr>
      <w:tr w:rsidR="004001FA" w:rsidRPr="009B6C0B" w14:paraId="05674952" w14:textId="77777777" w:rsidTr="004001FA">
        <w:trPr>
          <w:gridAfter w:val="3"/>
          <w:wAfter w:w="243" w:type="pct"/>
          <w:trHeight w:val="102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7D5C3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09B8A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BE728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FC432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683C3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9A242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2B6AF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</w:tr>
      <w:tr w:rsidR="004001FA" w:rsidRPr="009B6C0B" w14:paraId="0DFA6CDF" w14:textId="77777777" w:rsidTr="004001FA">
        <w:trPr>
          <w:gridAfter w:val="3"/>
          <w:wAfter w:w="243" w:type="pct"/>
          <w:trHeight w:val="244"/>
        </w:trPr>
        <w:tc>
          <w:tcPr>
            <w:tcW w:w="243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667477EC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  <w:t xml:space="preserve">     A. Gastos Corrientes (a)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1D298E39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  <w:t xml:space="preserve">9,222.1 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5E41F35A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  <w:t>9,149.7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2321AAF3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  <w:t>-72.3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5DA7EB4A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  <w:t>-0.8</w:t>
            </w:r>
          </w:p>
        </w:tc>
      </w:tr>
      <w:tr w:rsidR="004001FA" w:rsidRPr="009B6C0B" w14:paraId="4A67718A" w14:textId="77777777" w:rsidTr="004001FA">
        <w:trPr>
          <w:gridAfter w:val="3"/>
          <w:wAfter w:w="243" w:type="pct"/>
          <w:trHeight w:val="244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F6B92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</w:p>
        </w:tc>
        <w:tc>
          <w:tcPr>
            <w:tcW w:w="22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A199" w14:textId="77777777" w:rsidR="005B6518" w:rsidRPr="005B6518" w:rsidRDefault="005B6518" w:rsidP="005B6518">
            <w:pPr>
              <w:ind w:firstLineChars="100" w:firstLine="160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 xml:space="preserve">1. Consumo 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A3118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5,769.7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A1645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5,679.3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549E1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-90.4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01D78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-1.6</w:t>
            </w:r>
          </w:p>
        </w:tc>
      </w:tr>
      <w:tr w:rsidR="004001FA" w:rsidRPr="009B6C0B" w14:paraId="1DAF4CC7" w14:textId="77777777" w:rsidTr="004001FA">
        <w:trPr>
          <w:gridAfter w:val="3"/>
          <w:wAfter w:w="243" w:type="pct"/>
          <w:trHeight w:val="244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B9904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</w:p>
        </w:tc>
        <w:tc>
          <w:tcPr>
            <w:tcW w:w="22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A1F26" w14:textId="77777777" w:rsidR="005B6518" w:rsidRPr="005B6518" w:rsidRDefault="005B6518" w:rsidP="005B6518">
            <w:pPr>
              <w:ind w:firstLineChars="100" w:firstLine="160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 xml:space="preserve">           Remuneraciones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9AF79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3,929.0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D9769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3,727.1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68AE9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-201.8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BD88D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-5.1</w:t>
            </w:r>
          </w:p>
        </w:tc>
      </w:tr>
      <w:tr w:rsidR="004001FA" w:rsidRPr="009B6C0B" w14:paraId="318C622A" w14:textId="77777777" w:rsidTr="004001FA">
        <w:trPr>
          <w:gridAfter w:val="3"/>
          <w:wAfter w:w="243" w:type="pct"/>
          <w:trHeight w:val="244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12091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</w:p>
        </w:tc>
        <w:tc>
          <w:tcPr>
            <w:tcW w:w="22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B564F" w14:textId="77777777" w:rsidR="005B6518" w:rsidRPr="005B6518" w:rsidRDefault="005B6518" w:rsidP="005B6518">
            <w:pPr>
              <w:ind w:firstLineChars="100" w:firstLine="160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 xml:space="preserve">           Bienes y Servicios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AE34C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1,840.8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EC935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1,952.2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9ADA0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111.4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6B5E1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6.1</w:t>
            </w:r>
          </w:p>
        </w:tc>
      </w:tr>
      <w:tr w:rsidR="004001FA" w:rsidRPr="009B6C0B" w14:paraId="3E539E64" w14:textId="77777777" w:rsidTr="004001FA">
        <w:trPr>
          <w:gridAfter w:val="3"/>
          <w:wAfter w:w="243" w:type="pct"/>
          <w:trHeight w:val="244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EAE9C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</w:p>
        </w:tc>
        <w:tc>
          <w:tcPr>
            <w:tcW w:w="22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D9034" w14:textId="77777777" w:rsidR="005B6518" w:rsidRPr="005B6518" w:rsidRDefault="005B6518" w:rsidP="005B6518">
            <w:pPr>
              <w:ind w:firstLineChars="100" w:firstLine="160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2. Intereses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20CB6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1,620.7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E524B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1,755.9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7FF95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135.1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4C62E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8.3</w:t>
            </w:r>
          </w:p>
        </w:tc>
      </w:tr>
      <w:tr w:rsidR="004001FA" w:rsidRPr="009B6C0B" w14:paraId="39FA2D82" w14:textId="77777777" w:rsidTr="004001FA">
        <w:trPr>
          <w:gridAfter w:val="3"/>
          <w:wAfter w:w="243" w:type="pct"/>
          <w:trHeight w:val="244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02757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</w:p>
        </w:tc>
        <w:tc>
          <w:tcPr>
            <w:tcW w:w="22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1F33F" w14:textId="77777777" w:rsidR="005B6518" w:rsidRPr="005B6518" w:rsidRDefault="005B6518" w:rsidP="005B6518">
            <w:pPr>
              <w:ind w:firstLineChars="100" w:firstLine="160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3. Transferencias Corrientes *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D8C08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1,831.6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1E812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1,714.5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0DA39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-117.1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094D2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-6.4</w:t>
            </w:r>
          </w:p>
        </w:tc>
      </w:tr>
      <w:tr w:rsidR="004001FA" w:rsidRPr="009B6C0B" w14:paraId="53A931A8" w14:textId="77777777" w:rsidTr="004001FA">
        <w:trPr>
          <w:gridAfter w:val="3"/>
          <w:wAfter w:w="243" w:type="pct"/>
          <w:trHeight w:val="244"/>
        </w:trPr>
        <w:tc>
          <w:tcPr>
            <w:tcW w:w="243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0994F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 xml:space="preserve">     B. Gastos de Capital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657AD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1,435.0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E3182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1,756.3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E21C5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321.3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2385D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22.4</w:t>
            </w:r>
          </w:p>
        </w:tc>
      </w:tr>
      <w:tr w:rsidR="004001FA" w:rsidRPr="009B6C0B" w14:paraId="174ADD14" w14:textId="77777777" w:rsidTr="004001FA">
        <w:trPr>
          <w:gridAfter w:val="3"/>
          <w:wAfter w:w="243" w:type="pct"/>
          <w:trHeight w:val="256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1CE2ED20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  <w:t> </w:t>
            </w:r>
          </w:p>
        </w:tc>
        <w:tc>
          <w:tcPr>
            <w:tcW w:w="22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48AF981A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  <w:t>1. Inversión Bruta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136AEF1F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  <w:t>1,300.0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08642B4B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  <w:t>1,569.7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05DD841D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  <w:t>269.7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1E21F1ED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  <w:t>20.7</w:t>
            </w:r>
          </w:p>
        </w:tc>
      </w:tr>
      <w:tr w:rsidR="004001FA" w:rsidRPr="009B6C0B" w14:paraId="0B418C53" w14:textId="77777777" w:rsidTr="004001FA">
        <w:trPr>
          <w:gridAfter w:val="3"/>
          <w:wAfter w:w="243" w:type="pct"/>
          <w:trHeight w:val="244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002C9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</w:p>
        </w:tc>
        <w:tc>
          <w:tcPr>
            <w:tcW w:w="22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7AD8A" w14:textId="77777777" w:rsidR="005B6518" w:rsidRPr="005B6518" w:rsidRDefault="005B6518" w:rsidP="005B6518">
            <w:pPr>
              <w:ind w:firstLineChars="100" w:firstLine="160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2. Transferencias de Capital</w:t>
            </w:r>
            <w:r w:rsidRPr="005B6518">
              <w:rPr>
                <w:rFonts w:ascii="Museo Sans 300" w:eastAsia="Times New Roman" w:hAnsi="Museo Sans 300" w:cs="Arial"/>
                <w:sz w:val="16"/>
                <w:szCs w:val="22"/>
                <w:vertAlign w:val="superscript"/>
                <w:lang w:val="es-SV"/>
              </w:rPr>
              <w:t xml:space="preserve"> 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95CC6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135.0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9095F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186.6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95B80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51.6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81D1C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38.2</w:t>
            </w:r>
          </w:p>
        </w:tc>
      </w:tr>
      <w:tr w:rsidR="004001FA" w:rsidRPr="009B6C0B" w14:paraId="1AC143D4" w14:textId="77777777" w:rsidTr="004001FA">
        <w:trPr>
          <w:gridAfter w:val="3"/>
          <w:wAfter w:w="243" w:type="pct"/>
          <w:trHeight w:val="244"/>
        </w:trPr>
        <w:tc>
          <w:tcPr>
            <w:tcW w:w="243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0F4C3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 xml:space="preserve">     C. Concesión neta de préstamos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AC7E9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0.0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42537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-52.2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47437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B3587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</w:tr>
      <w:tr w:rsidR="004001FA" w:rsidRPr="009B6C0B" w14:paraId="1F1868B7" w14:textId="77777777" w:rsidTr="004001FA">
        <w:trPr>
          <w:gridAfter w:val="3"/>
          <w:wAfter w:w="243" w:type="pct"/>
          <w:trHeight w:val="106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3CFF2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D25AB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AF827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EB147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3EB14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E2286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F5ABA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</w:tr>
      <w:tr w:rsidR="004001FA" w:rsidRPr="009B6C0B" w14:paraId="371CE6F1" w14:textId="77777777" w:rsidTr="004001FA">
        <w:trPr>
          <w:gridAfter w:val="3"/>
          <w:wAfter w:w="243" w:type="pct"/>
          <w:trHeight w:val="244"/>
        </w:trPr>
        <w:tc>
          <w:tcPr>
            <w:tcW w:w="243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5F17A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 xml:space="preserve">III. AHORRO CORRIENTE [ </w:t>
            </w:r>
            <w:proofErr w:type="gramStart"/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I.A  -</w:t>
            </w:r>
            <w:proofErr w:type="gramEnd"/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 xml:space="preserve">  II.A ]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D8340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-206.7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1155B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632.0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CF523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838.7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51896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-405.7</w:t>
            </w:r>
          </w:p>
        </w:tc>
      </w:tr>
      <w:tr w:rsidR="004001FA" w:rsidRPr="009B6C0B" w14:paraId="48A08DD1" w14:textId="77777777" w:rsidTr="004001FA">
        <w:trPr>
          <w:gridAfter w:val="3"/>
          <w:wAfter w:w="243" w:type="pct"/>
          <w:trHeight w:val="144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48B15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8952B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F8C3B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385C8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01508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3C9C4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059C4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</w:tr>
      <w:tr w:rsidR="004001FA" w:rsidRPr="009B6C0B" w14:paraId="556296DB" w14:textId="77777777" w:rsidTr="004001FA">
        <w:trPr>
          <w:gridAfter w:val="3"/>
          <w:wAfter w:w="243" w:type="pct"/>
          <w:trHeight w:val="244"/>
        </w:trPr>
        <w:tc>
          <w:tcPr>
            <w:tcW w:w="243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D6E0E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IV. AHORRO PRIMARIO (No incluye intereses)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3F4D7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1414.0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4A935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2,387.9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C2C92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973.9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6C077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68.9</w:t>
            </w:r>
          </w:p>
        </w:tc>
      </w:tr>
      <w:tr w:rsidR="004001FA" w:rsidRPr="009B6C0B" w14:paraId="14A40E78" w14:textId="77777777" w:rsidTr="004001FA">
        <w:trPr>
          <w:gridAfter w:val="3"/>
          <w:wAfter w:w="243" w:type="pct"/>
          <w:trHeight w:val="155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232B0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F6FB2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CA666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893BC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88243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A44EA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2B986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</w:tr>
      <w:tr w:rsidR="004001FA" w:rsidRPr="009B6C0B" w14:paraId="6308A4D4" w14:textId="77777777" w:rsidTr="004001FA">
        <w:trPr>
          <w:gridAfter w:val="3"/>
          <w:wAfter w:w="243" w:type="pct"/>
          <w:trHeight w:val="439"/>
        </w:trPr>
        <w:tc>
          <w:tcPr>
            <w:tcW w:w="243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74CBBB53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b/>
                <w:bCs/>
                <w:sz w:val="16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lang w:val="es-SV"/>
              </w:rPr>
              <w:t>V. BALANCE PRIMARIO c/pensiones (No incluye intereses)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46DE6606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  <w:t xml:space="preserve">11.9 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5CFCCC38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  <w:t>705.6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69336A97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  <w:t>693.8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748D126C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  <w:t>5,847.8</w:t>
            </w:r>
          </w:p>
        </w:tc>
      </w:tr>
      <w:tr w:rsidR="004001FA" w:rsidRPr="009B6C0B" w14:paraId="6F230975" w14:textId="77777777" w:rsidTr="004001FA">
        <w:trPr>
          <w:gridAfter w:val="3"/>
          <w:wAfter w:w="243" w:type="pct"/>
          <w:trHeight w:val="84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852EC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215E2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E3307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868A9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4026C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DB9B5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A31BE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</w:tr>
      <w:tr w:rsidR="004001FA" w:rsidRPr="009B6C0B" w14:paraId="7F5A1E03" w14:textId="77777777" w:rsidTr="004001FA">
        <w:trPr>
          <w:gridAfter w:val="3"/>
          <w:wAfter w:w="243" w:type="pct"/>
          <w:trHeight w:val="244"/>
        </w:trPr>
        <w:tc>
          <w:tcPr>
            <w:tcW w:w="243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EB9A0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 xml:space="preserve">VI. SUPERAVIT </w:t>
            </w:r>
            <w:proofErr w:type="gramStart"/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( DEFICIT</w:t>
            </w:r>
            <w:proofErr w:type="gramEnd"/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 xml:space="preserve"> ) GLOBAL,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40D29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9B629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E1BAF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8EBC7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</w:tr>
      <w:tr w:rsidR="004001FA" w:rsidRPr="009B6C0B" w14:paraId="6D7E2A2B" w14:textId="77777777" w:rsidTr="004001FA">
        <w:trPr>
          <w:gridAfter w:val="3"/>
          <w:wAfter w:w="243" w:type="pct"/>
          <w:trHeight w:val="155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E486F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DA12A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CB61B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2E839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3B84F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2943A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D53A2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</w:tr>
      <w:tr w:rsidR="004001FA" w:rsidRPr="009B6C0B" w14:paraId="6711F41C" w14:textId="77777777" w:rsidTr="004001FA">
        <w:trPr>
          <w:gridAfter w:val="3"/>
          <w:wAfter w:w="243" w:type="pct"/>
          <w:trHeight w:val="244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1C2495EE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  <w:t> </w:t>
            </w:r>
          </w:p>
        </w:tc>
        <w:tc>
          <w:tcPr>
            <w:tcW w:w="22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42988AED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  <w:t>2. Incluyendo Donaciones c/pensiones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71167A2A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  <w:t>-1608.9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065995D2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  <w:t>-1,050.3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35D556CE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  <w:t>558.6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000000" w:fill="ACBCDD"/>
            <w:noWrap/>
            <w:vAlign w:val="bottom"/>
            <w:hideMark/>
          </w:tcPr>
          <w:p w14:paraId="546FFB8B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  <w:t>-34.7</w:t>
            </w:r>
          </w:p>
        </w:tc>
      </w:tr>
      <w:tr w:rsidR="004001FA" w:rsidRPr="009B6C0B" w14:paraId="65523815" w14:textId="77777777" w:rsidTr="004001FA">
        <w:trPr>
          <w:gridAfter w:val="3"/>
          <w:wAfter w:w="243" w:type="pct"/>
          <w:trHeight w:val="244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ED69A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</w:p>
        </w:tc>
        <w:tc>
          <w:tcPr>
            <w:tcW w:w="22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B9229" w14:textId="77777777" w:rsidR="005B6518" w:rsidRPr="005B6518" w:rsidRDefault="005B6518" w:rsidP="005B6518">
            <w:pPr>
              <w:ind w:firstLineChars="400" w:firstLine="643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  <w:t>Pago Pensiones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2FBEC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591.2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75C16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574.8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4792E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-16.4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9B499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</w:p>
        </w:tc>
      </w:tr>
      <w:tr w:rsidR="004001FA" w:rsidRPr="009B6C0B" w14:paraId="3D3AE72E" w14:textId="77777777" w:rsidTr="004001FA">
        <w:trPr>
          <w:gridAfter w:val="3"/>
          <w:wAfter w:w="243" w:type="pct"/>
          <w:trHeight w:val="92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E6A0D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74831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966FB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0633C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BA32E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FDFE6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D3946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</w:tr>
      <w:tr w:rsidR="004001FA" w:rsidRPr="009B6C0B" w14:paraId="7F48BE86" w14:textId="77777777" w:rsidTr="004001FA">
        <w:trPr>
          <w:gridAfter w:val="3"/>
          <w:wAfter w:w="243" w:type="pct"/>
          <w:trHeight w:val="244"/>
        </w:trPr>
        <w:tc>
          <w:tcPr>
            <w:tcW w:w="243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3A4C2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VII. FINANCIAMIENTO EXTERNO NETO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4602C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1240.2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A4C95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1,546.4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8A661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306.2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39E32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24.7</w:t>
            </w:r>
          </w:p>
        </w:tc>
      </w:tr>
      <w:tr w:rsidR="004001FA" w:rsidRPr="009B6C0B" w14:paraId="3CDE0FDC" w14:textId="77777777" w:rsidTr="004001FA">
        <w:trPr>
          <w:gridAfter w:val="3"/>
          <w:wAfter w:w="243" w:type="pct"/>
          <w:trHeight w:val="244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21D22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</w:p>
        </w:tc>
        <w:tc>
          <w:tcPr>
            <w:tcW w:w="22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45DF8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1. Desembolsos de préstamos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5CAE8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3,547.8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621FD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2,576.9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2BC7B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-970.9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57ECC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-27.4</w:t>
            </w:r>
          </w:p>
        </w:tc>
      </w:tr>
      <w:tr w:rsidR="004001FA" w:rsidRPr="009B6C0B" w14:paraId="7F1A5ABE" w14:textId="77777777" w:rsidTr="004001FA">
        <w:trPr>
          <w:gridAfter w:val="3"/>
          <w:wAfter w:w="243" w:type="pct"/>
          <w:trHeight w:val="244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33ACC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</w:p>
        </w:tc>
        <w:tc>
          <w:tcPr>
            <w:tcW w:w="22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36FB7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2. Amortizaciones de préstamos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17D86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-2,307.6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94070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-1,030.5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A02D2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1,277.1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B0EFA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-55.3</w:t>
            </w:r>
          </w:p>
        </w:tc>
      </w:tr>
      <w:tr w:rsidR="004001FA" w:rsidRPr="009B6C0B" w14:paraId="28B34337" w14:textId="77777777" w:rsidTr="004001FA">
        <w:trPr>
          <w:gridAfter w:val="3"/>
          <w:wAfter w:w="243" w:type="pct"/>
          <w:trHeight w:val="84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827A1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52807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D5487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0C3E4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  <w:t>0.0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7DD9E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sz w:val="16"/>
                <w:szCs w:val="22"/>
                <w:lang w:val="es-SV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DBD6F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9064A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</w:tr>
      <w:tr w:rsidR="004001FA" w:rsidRPr="009B6C0B" w14:paraId="69AD4E8A" w14:textId="77777777" w:rsidTr="004001FA">
        <w:trPr>
          <w:gridAfter w:val="3"/>
          <w:wAfter w:w="243" w:type="pct"/>
          <w:trHeight w:val="244"/>
        </w:trPr>
        <w:tc>
          <w:tcPr>
            <w:tcW w:w="243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651E7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VIII. FINANCIAMIENTO INTERNO NETO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0B1E1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368.7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4EFF6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-496.1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695D3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-864.8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E70E2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-234.6</w:t>
            </w:r>
          </w:p>
        </w:tc>
      </w:tr>
      <w:tr w:rsidR="004001FA" w:rsidRPr="009B6C0B" w14:paraId="30D7AE7F" w14:textId="77777777" w:rsidTr="004001FA">
        <w:trPr>
          <w:gridAfter w:val="3"/>
          <w:wAfter w:w="243" w:type="pct"/>
          <w:trHeight w:val="92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AE611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8DD2A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95691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AEF5C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  <w:t>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D91D7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08A7E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DF61E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</w:tr>
      <w:tr w:rsidR="004001FA" w:rsidRPr="009B6C0B" w14:paraId="5EA3DFB6" w14:textId="77777777" w:rsidTr="004001FA">
        <w:trPr>
          <w:gridAfter w:val="3"/>
          <w:wAfter w:w="243" w:type="pct"/>
          <w:trHeight w:val="244"/>
        </w:trPr>
        <w:tc>
          <w:tcPr>
            <w:tcW w:w="243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E108E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IX. BRECHA NO FINANCIADA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E104C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 xml:space="preserve">0.0 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3FEFC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0.0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9FF68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0.0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82E46" w14:textId="77777777" w:rsidR="005B6518" w:rsidRPr="005B6518" w:rsidRDefault="005B6518" w:rsidP="005B6518">
            <w:pPr>
              <w:jc w:val="center"/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szCs w:val="22"/>
                <w:u w:val="single"/>
                <w:lang w:val="es-SV"/>
              </w:rPr>
            </w:pPr>
            <w:proofErr w:type="gramStart"/>
            <w:r w:rsidRPr="005B6518"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szCs w:val="22"/>
                <w:u w:val="single"/>
                <w:lang w:val="es-SV"/>
              </w:rPr>
              <w:t>#¡</w:t>
            </w:r>
            <w:proofErr w:type="gramEnd"/>
            <w:r w:rsidRPr="005B6518"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szCs w:val="22"/>
                <w:u w:val="single"/>
                <w:lang w:val="es-SV"/>
              </w:rPr>
              <w:t>DIV/0!</w:t>
            </w:r>
          </w:p>
        </w:tc>
      </w:tr>
      <w:tr w:rsidR="004001FA" w:rsidRPr="009B6C0B" w14:paraId="79C48FBC" w14:textId="77777777" w:rsidTr="004001FA">
        <w:trPr>
          <w:gridAfter w:val="3"/>
          <w:wAfter w:w="243" w:type="pct"/>
          <w:trHeight w:val="128"/>
        </w:trPr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CA305E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 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AE6B87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 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5FEAAB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BA66AE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0202C5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310613" w14:textId="77777777" w:rsidR="005B6518" w:rsidRPr="005B6518" w:rsidRDefault="005B6518" w:rsidP="005B6518">
            <w:pPr>
              <w:jc w:val="right"/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u w:val="single"/>
                <w:lang w:val="es-SV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C2DDD2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szCs w:val="22"/>
                <w:u w:val="single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color w:val="FFFFFF"/>
                <w:sz w:val="16"/>
                <w:szCs w:val="22"/>
                <w:u w:val="single"/>
                <w:lang w:val="es-SV"/>
              </w:rPr>
              <w:t> </w:t>
            </w:r>
          </w:p>
        </w:tc>
      </w:tr>
      <w:tr w:rsidR="004001FA" w:rsidRPr="009B6C0B" w14:paraId="559AC0A5" w14:textId="77777777" w:rsidTr="004001FA">
        <w:trPr>
          <w:trHeight w:val="244"/>
        </w:trPr>
        <w:tc>
          <w:tcPr>
            <w:tcW w:w="4757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B2652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  <w:r w:rsidRPr="005B6518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  <w:t>Fuente:  Ministerio de Hacienda, Banco Central de Reserva, Instituciones Autónomas.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9D78F" w14:textId="77777777" w:rsidR="005B6518" w:rsidRPr="005B6518" w:rsidRDefault="005B6518" w:rsidP="005B6518">
            <w:pPr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F2C2A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E2F56" w14:textId="77777777" w:rsidR="005B6518" w:rsidRPr="005B6518" w:rsidRDefault="005B6518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</w:tr>
      <w:tr w:rsidR="004001FA" w:rsidRPr="009B6C0B" w14:paraId="4F7A2DB8" w14:textId="77777777" w:rsidTr="004001FA">
        <w:trPr>
          <w:trHeight w:val="244"/>
        </w:trPr>
        <w:tc>
          <w:tcPr>
            <w:tcW w:w="4757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D61F2" w14:textId="77777777" w:rsidR="004001FA" w:rsidRPr="009B6C0B" w:rsidRDefault="004001FA" w:rsidP="005B6518">
            <w:pPr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  <w:r w:rsidRPr="009B6C0B"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  <w:t>Dirección de Política Económica y Fiscal- * Incluye pago de pensiones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0338E3" w14:textId="77777777" w:rsidR="004001FA" w:rsidRPr="009B6C0B" w:rsidRDefault="004001FA" w:rsidP="005B6518">
            <w:pPr>
              <w:rPr>
                <w:rFonts w:ascii="Museo Sans 300" w:eastAsia="Times New Roman" w:hAnsi="Museo Sans 300" w:cs="Arial"/>
                <w:b/>
                <w:bCs/>
                <w:sz w:val="16"/>
                <w:szCs w:val="22"/>
                <w:lang w:val="es-SV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A2A3D" w14:textId="77777777" w:rsidR="004001FA" w:rsidRPr="009B6C0B" w:rsidRDefault="004001FA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354D3" w14:textId="77777777" w:rsidR="004001FA" w:rsidRPr="009B6C0B" w:rsidRDefault="004001FA" w:rsidP="005B6518">
            <w:pPr>
              <w:rPr>
                <w:rFonts w:ascii="Museo Sans 300" w:eastAsia="Times New Roman" w:hAnsi="Museo Sans 300" w:cs="Times New Roman"/>
                <w:sz w:val="16"/>
                <w:lang w:val="es-SV"/>
              </w:rPr>
            </w:pPr>
          </w:p>
        </w:tc>
      </w:tr>
    </w:tbl>
    <w:p w14:paraId="1D38CA7B" w14:textId="77777777" w:rsidR="005B6518" w:rsidRPr="009B6C0B" w:rsidRDefault="005B6518">
      <w:pPr>
        <w:spacing w:after="240" w:line="276" w:lineRule="auto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</w:p>
    <w:p w14:paraId="390ADCFF" w14:textId="77777777" w:rsidR="00A747DD" w:rsidRPr="009B6C0B" w:rsidRDefault="00A747DD">
      <w:pPr>
        <w:spacing w:line="276" w:lineRule="auto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</w:p>
    <w:p w14:paraId="142811D4" w14:textId="77777777" w:rsidR="00A747DD" w:rsidRPr="009B6C0B" w:rsidRDefault="00A747DD" w:rsidP="006F765A">
      <w:pPr>
        <w:spacing w:line="276" w:lineRule="auto"/>
        <w:rPr>
          <w:rFonts w:ascii="Museo Sans 300" w:eastAsia="Museo Sans 300" w:hAnsi="Museo Sans 300" w:cs="Museo Sans 300"/>
          <w:i/>
          <w:iCs/>
          <w:sz w:val="22"/>
          <w:szCs w:val="22"/>
        </w:rPr>
      </w:pPr>
    </w:p>
    <w:p w14:paraId="6040BE24" w14:textId="77777777" w:rsidR="00A747DD" w:rsidRPr="009B6C0B" w:rsidRDefault="00255E85">
      <w:pPr>
        <w:spacing w:line="276" w:lineRule="auto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  <w:r w:rsidRPr="009B6C0B">
        <w:rPr>
          <w:rFonts w:ascii="Museo Sans 300" w:eastAsia="Museo Sans 300" w:hAnsi="Museo Sans 300" w:cs="Museo Sans 300"/>
          <w:i/>
          <w:iCs/>
          <w:sz w:val="22"/>
          <w:szCs w:val="22"/>
        </w:rPr>
        <w:lastRenderedPageBreak/>
        <w:t>Anexo 3:</w:t>
      </w:r>
    </w:p>
    <w:p w14:paraId="2ECB59E6" w14:textId="77777777" w:rsidR="00A747DD" w:rsidRPr="009B6C0B" w:rsidRDefault="00255E85">
      <w:pPr>
        <w:spacing w:line="276" w:lineRule="auto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  <w:r w:rsidRPr="009B6C0B">
        <w:rPr>
          <w:rFonts w:ascii="Museo Sans 300" w:eastAsia="Museo Sans 300" w:hAnsi="Museo Sans 300" w:cs="Museo Sans 300"/>
          <w:i/>
          <w:iCs/>
          <w:sz w:val="22"/>
          <w:szCs w:val="22"/>
        </w:rPr>
        <w:t>Ejecución del SPNF a diciembre 2025 - 2024</w:t>
      </w:r>
    </w:p>
    <w:p w14:paraId="4A4498D5" w14:textId="77777777" w:rsidR="00A747DD" w:rsidRPr="009B6C0B" w:rsidRDefault="00255E85">
      <w:pPr>
        <w:spacing w:after="240" w:line="276" w:lineRule="auto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  <w:r w:rsidRPr="009B6C0B">
        <w:rPr>
          <w:rFonts w:ascii="Museo Sans 300" w:eastAsia="Museo Sans 300" w:hAnsi="Museo Sans 300" w:cs="Museo Sans 300"/>
          <w:i/>
          <w:iCs/>
          <w:sz w:val="22"/>
          <w:szCs w:val="22"/>
        </w:rPr>
        <w:t>(En % del PIB)</w:t>
      </w:r>
    </w:p>
    <w:p w14:paraId="44A7F9C5" w14:textId="77777777" w:rsidR="00A747DD" w:rsidRPr="009B6C0B" w:rsidRDefault="00255E85">
      <w:pPr>
        <w:spacing w:after="240" w:line="276" w:lineRule="auto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  <w:r w:rsidRPr="009B6C0B">
        <w:rPr>
          <w:rFonts w:ascii="Museo Sans 300" w:eastAsia="Museo Sans 300" w:hAnsi="Museo Sans 300" w:cs="Museo Sans 300"/>
          <w:noProof/>
          <w:sz w:val="22"/>
          <w:szCs w:val="22"/>
        </w:rPr>
        <w:drawing>
          <wp:inline distT="0" distB="0" distL="114300" distR="114300" wp14:anchorId="4CBF2E74" wp14:editId="5D65FAE5">
            <wp:extent cx="5772150" cy="6648450"/>
            <wp:effectExtent l="0" t="0" r="0" b="0"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6648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25E4F6" w14:textId="77777777" w:rsidR="00A747DD" w:rsidRPr="009B6C0B" w:rsidRDefault="00A747DD">
      <w:pPr>
        <w:spacing w:after="240" w:line="276" w:lineRule="auto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</w:p>
    <w:p w14:paraId="77CDAEDE" w14:textId="77777777" w:rsidR="00A747DD" w:rsidRPr="009B6C0B" w:rsidRDefault="00A747DD">
      <w:pPr>
        <w:spacing w:after="160" w:line="259" w:lineRule="auto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</w:p>
    <w:p w14:paraId="28BA8471" w14:textId="77777777" w:rsidR="00A747DD" w:rsidRPr="009B6C0B" w:rsidRDefault="00255E85">
      <w:pPr>
        <w:spacing w:after="160" w:line="259" w:lineRule="auto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  <w:r w:rsidRPr="009B6C0B">
        <w:rPr>
          <w:rFonts w:ascii="Museo Sans 300" w:eastAsia="Museo Sans 300" w:hAnsi="Museo Sans 300" w:cs="Museo Sans 300"/>
          <w:i/>
          <w:iCs/>
          <w:sz w:val="22"/>
          <w:szCs w:val="22"/>
        </w:rPr>
        <w:lastRenderedPageBreak/>
        <w:t xml:space="preserve">Anexo 4: </w:t>
      </w:r>
    </w:p>
    <w:p w14:paraId="1677BE64" w14:textId="77777777" w:rsidR="00A747DD" w:rsidRPr="009B6C0B" w:rsidRDefault="00255E85">
      <w:pPr>
        <w:spacing w:after="160" w:line="259" w:lineRule="auto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  <w:r w:rsidRPr="009B6C0B">
        <w:rPr>
          <w:rFonts w:ascii="Museo Sans 300" w:eastAsia="Museo Sans 300" w:hAnsi="Museo Sans 300" w:cs="Museo Sans 300"/>
          <w:i/>
          <w:iCs/>
          <w:sz w:val="22"/>
          <w:szCs w:val="22"/>
        </w:rPr>
        <w:t>Inversión Pública del SPNF a diciembre de 2025 - 2024</w:t>
      </w:r>
    </w:p>
    <w:p w14:paraId="0ACFC5EB" w14:textId="77777777" w:rsidR="00A747DD" w:rsidRPr="009B6C0B" w:rsidRDefault="00255E85">
      <w:pPr>
        <w:spacing w:after="240" w:line="276" w:lineRule="auto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  <w:r w:rsidRPr="009B6C0B">
        <w:rPr>
          <w:rFonts w:ascii="Museo Sans 300" w:eastAsia="Museo Sans 300" w:hAnsi="Museo Sans 300" w:cs="Museo Sans 300"/>
          <w:i/>
          <w:iCs/>
          <w:sz w:val="22"/>
          <w:szCs w:val="22"/>
        </w:rPr>
        <w:t xml:space="preserve">(En millones de US$) </w:t>
      </w:r>
    </w:p>
    <w:p w14:paraId="5FE875B3" w14:textId="77777777" w:rsidR="00A747DD" w:rsidRPr="009B6C0B" w:rsidRDefault="00255E85">
      <w:pPr>
        <w:spacing w:line="276" w:lineRule="auto"/>
        <w:jc w:val="center"/>
        <w:rPr>
          <w:rFonts w:ascii="Museo Sans 300" w:eastAsia="Museo Sans 300" w:hAnsi="Museo Sans 300" w:cs="Museo Sans 300"/>
          <w:b/>
          <w:bCs/>
          <w:sz w:val="22"/>
          <w:szCs w:val="22"/>
        </w:rPr>
      </w:pPr>
      <w:r w:rsidRPr="009B6C0B">
        <w:rPr>
          <w:rFonts w:ascii="Museo Sans 300" w:eastAsia="Museo Sans 300" w:hAnsi="Museo Sans 300" w:cs="Museo Sans 300"/>
          <w:b/>
          <w:bCs/>
          <w:noProof/>
          <w:sz w:val="22"/>
          <w:szCs w:val="22"/>
        </w:rPr>
        <w:drawing>
          <wp:inline distT="0" distB="0" distL="114300" distR="114300" wp14:anchorId="2C570C78" wp14:editId="228612F0">
            <wp:extent cx="4263328" cy="7233603"/>
            <wp:effectExtent l="0" t="0" r="0" b="0"/>
            <wp:docPr id="6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3328" cy="72336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F8501B" w14:textId="77777777" w:rsidR="00A747DD" w:rsidRPr="009B6C0B" w:rsidRDefault="00255E85">
      <w:pPr>
        <w:spacing w:after="160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  <w:r w:rsidRPr="009B6C0B">
        <w:rPr>
          <w:rFonts w:ascii="Museo Sans 300" w:eastAsia="Museo Sans 300" w:hAnsi="Museo Sans 300" w:cs="Museo Sans 300"/>
          <w:i/>
          <w:iCs/>
          <w:sz w:val="22"/>
          <w:szCs w:val="22"/>
        </w:rPr>
        <w:lastRenderedPageBreak/>
        <w:t xml:space="preserve">Anexo 5: </w:t>
      </w:r>
    </w:p>
    <w:p w14:paraId="18261439" w14:textId="77777777" w:rsidR="00A747DD" w:rsidRPr="009B6C0B" w:rsidRDefault="00255E85">
      <w:pPr>
        <w:spacing w:after="160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  <w:r w:rsidRPr="009B6C0B">
        <w:rPr>
          <w:rFonts w:ascii="Museo Sans 300" w:eastAsia="Museo Sans 300" w:hAnsi="Museo Sans 300" w:cs="Museo Sans 300"/>
          <w:i/>
          <w:iCs/>
          <w:sz w:val="22"/>
          <w:szCs w:val="22"/>
        </w:rPr>
        <w:t>Saldos de la Deuda Neta del SPNF a diciembre de 2025 - 2024</w:t>
      </w:r>
    </w:p>
    <w:p w14:paraId="07E27E4A" w14:textId="77777777" w:rsidR="00A747DD" w:rsidRPr="009B6C0B" w:rsidRDefault="00255E85">
      <w:pPr>
        <w:spacing w:after="240"/>
        <w:jc w:val="center"/>
        <w:rPr>
          <w:rFonts w:ascii="Museo Sans 300" w:eastAsia="Museo Sans 300" w:hAnsi="Museo Sans 300" w:cs="Museo Sans 300"/>
          <w:i/>
          <w:iCs/>
          <w:sz w:val="22"/>
          <w:szCs w:val="22"/>
        </w:rPr>
      </w:pPr>
      <w:r w:rsidRPr="009B6C0B">
        <w:rPr>
          <w:rFonts w:ascii="Museo Sans 300" w:eastAsia="Museo Sans 300" w:hAnsi="Museo Sans 300" w:cs="Museo Sans 300"/>
          <w:i/>
          <w:iCs/>
          <w:sz w:val="22"/>
          <w:szCs w:val="22"/>
        </w:rPr>
        <w:t xml:space="preserve">(En millones de US$) </w:t>
      </w:r>
    </w:p>
    <w:p w14:paraId="17139D79" w14:textId="77777777" w:rsidR="00A747DD" w:rsidRPr="009B6C0B" w:rsidRDefault="00255E85">
      <w:pPr>
        <w:spacing w:line="276" w:lineRule="auto"/>
        <w:jc w:val="center"/>
        <w:rPr>
          <w:rFonts w:ascii="Museo Sans 300" w:eastAsia="Museo Sans 300" w:hAnsi="Museo Sans 300" w:cs="Museo Sans 300"/>
          <w:sz w:val="22"/>
          <w:szCs w:val="22"/>
        </w:rPr>
      </w:pPr>
      <w:r w:rsidRPr="009B6C0B">
        <w:rPr>
          <w:rFonts w:ascii="Museo Sans 300" w:eastAsia="Museo Sans 300" w:hAnsi="Museo Sans 300" w:cs="Museo Sans 300"/>
          <w:noProof/>
          <w:sz w:val="22"/>
          <w:szCs w:val="22"/>
        </w:rPr>
        <w:drawing>
          <wp:inline distT="0" distB="0" distL="114300" distR="114300" wp14:anchorId="0C9155A3" wp14:editId="3E8EF687">
            <wp:extent cx="5402255" cy="7338378"/>
            <wp:effectExtent l="0" t="0" r="0" b="0"/>
            <wp:docPr id="5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2255" cy="73383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A747DD" w:rsidRPr="009B6C0B">
      <w:footerReference w:type="default" r:id="rId21"/>
      <w:pgSz w:w="12240" w:h="15840"/>
      <w:pgMar w:top="1411" w:right="1699" w:bottom="1411" w:left="1699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0112D3" w14:textId="77777777" w:rsidR="0003764E" w:rsidRDefault="0003764E">
      <w:r>
        <w:separator/>
      </w:r>
    </w:p>
  </w:endnote>
  <w:endnote w:type="continuationSeparator" w:id="0">
    <w:p w14:paraId="2F5A3DEE" w14:textId="77777777" w:rsidR="0003764E" w:rsidRDefault="00037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8435FDF7-5EFC-48B9-B52D-2215B07C6D9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021C9B7-ABD2-4A38-91D6-94C66BC83515}"/>
    <w:embedBold r:id="rId3" w:fontKey="{C50F2216-864B-45D2-9DC8-E4BBBD2BC108}"/>
    <w:embedItalic r:id="rId4" w:fontKey="{3F34BC53-DA05-4200-A637-377F34CA8876}"/>
    <w:embedBoldItalic r:id="rId5" w:fontKey="{A468B6E1-E394-4CC9-BE82-51EDD46C69B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0166AF1A-0580-46CF-86AB-A732B9E09292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1224C22D-C69B-4477-83BE-6E8FAE2C17FB}"/>
  </w:font>
  <w:font w:name="Museo Sans 300">
    <w:altName w:val="Calibri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1EC7BBA-CC52-40E4-B628-5DF8F36367F6}"/>
  </w:font>
  <w:font w:name="Museo Sans 100">
    <w:altName w:val="Calibri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8C4E3" w14:textId="77777777" w:rsidR="009E25C3" w:rsidRDefault="009E25C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48462436" w14:textId="77777777" w:rsidR="009E25C3" w:rsidRDefault="009E25C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17BF51" w14:textId="77777777" w:rsidR="0003764E" w:rsidRDefault="0003764E">
      <w:r>
        <w:separator/>
      </w:r>
    </w:p>
  </w:footnote>
  <w:footnote w:type="continuationSeparator" w:id="0">
    <w:p w14:paraId="4B975468" w14:textId="77777777" w:rsidR="0003764E" w:rsidRDefault="0003764E">
      <w:r>
        <w:continuationSeparator/>
      </w:r>
    </w:p>
  </w:footnote>
  <w:footnote w:id="1">
    <w:p w14:paraId="50616796" w14:textId="77777777" w:rsidR="009E25C3" w:rsidRDefault="009E25C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(ver anexo 1)</w:t>
      </w:r>
    </w:p>
  </w:footnote>
  <w:footnote w:id="2">
    <w:p w14:paraId="43CFB3A4" w14:textId="77777777" w:rsidR="009E25C3" w:rsidRDefault="009E25C3">
      <w:pPr>
        <w:jc w:val="both"/>
        <w:rPr>
          <w:rFonts w:ascii="Museo Sans 300" w:eastAsia="Museo Sans 300" w:hAnsi="Museo Sans 300" w:cs="Museo Sans 300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t xml:space="preserve"> </w:t>
      </w:r>
      <w:r>
        <w:rPr>
          <w:rFonts w:ascii="Museo Sans 300" w:eastAsia="Museo Sans 300" w:hAnsi="Museo Sans 300" w:cs="Museo Sans 300"/>
          <w:color w:val="000000"/>
          <w:sz w:val="16"/>
          <w:szCs w:val="16"/>
        </w:rPr>
        <w:t>El Ingreso Tributario en los cuadros consolidados del SPNF, es mayor a la recaudación tributara registrada en el Gobierno Central (Operaciones del Presupuesto Ordinario). La diferencia se debe a que la recaudación de la Contribución Especial para el Mantenimiento Vial, a partir de junio de 2023, es enterada directamente a las cuentas de la institución administradora de estos fondos (FOVIAL).</w:t>
      </w:r>
    </w:p>
    <w:p w14:paraId="122B85BB" w14:textId="77777777" w:rsidR="009E25C3" w:rsidRDefault="009E25C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</w:footnote>
  <w:footnote w:id="3">
    <w:p w14:paraId="2AB600AC" w14:textId="77777777" w:rsidR="009E25C3" w:rsidRDefault="009E25C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(ver anexo 2 y 3)</w:t>
      </w:r>
    </w:p>
  </w:footnote>
  <w:footnote w:id="4">
    <w:p w14:paraId="234480A1" w14:textId="77777777" w:rsidR="009E25C3" w:rsidRDefault="009E25C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(ver anexo 2 y 3)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673320"/>
    <w:multiLevelType w:val="multilevel"/>
    <w:tmpl w:val="2D380C1C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7DD"/>
    <w:rsid w:val="0003764E"/>
    <w:rsid w:val="00061A50"/>
    <w:rsid w:val="00251860"/>
    <w:rsid w:val="00255E85"/>
    <w:rsid w:val="002640DC"/>
    <w:rsid w:val="002648E2"/>
    <w:rsid w:val="002C0F31"/>
    <w:rsid w:val="00396ABE"/>
    <w:rsid w:val="004001FA"/>
    <w:rsid w:val="00402668"/>
    <w:rsid w:val="0045670F"/>
    <w:rsid w:val="004A168E"/>
    <w:rsid w:val="00575954"/>
    <w:rsid w:val="005817B8"/>
    <w:rsid w:val="0058595B"/>
    <w:rsid w:val="005B6518"/>
    <w:rsid w:val="00661F97"/>
    <w:rsid w:val="006F765A"/>
    <w:rsid w:val="0070536E"/>
    <w:rsid w:val="00767051"/>
    <w:rsid w:val="008F3496"/>
    <w:rsid w:val="009B6C0B"/>
    <w:rsid w:val="009E25C3"/>
    <w:rsid w:val="00A23FAA"/>
    <w:rsid w:val="00A747DD"/>
    <w:rsid w:val="00CB08B7"/>
    <w:rsid w:val="00CB6E90"/>
    <w:rsid w:val="00D0041A"/>
    <w:rsid w:val="00DA3481"/>
    <w:rsid w:val="00E35F4B"/>
    <w:rsid w:val="00E64D1F"/>
    <w:rsid w:val="00EB41D8"/>
    <w:rsid w:val="00F33A7D"/>
    <w:rsid w:val="00F74462"/>
    <w:rsid w:val="00F93E5B"/>
    <w:rsid w:val="00FC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F9A9EA"/>
  <w15:docId w15:val="{3FEC8CC4-1A44-4D50-80E3-3FCD38CCA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es-MX" w:eastAsia="es-S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b/>
      <w:bCs/>
      <w:color w:val="000000"/>
      <w:sz w:val="28"/>
      <w:szCs w:val="2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40"/>
      <w:outlineLvl w:val="1"/>
    </w:pPr>
    <w:rPr>
      <w:b/>
      <w:bCs/>
      <w:sz w:val="22"/>
      <w:szCs w:val="2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40"/>
      <w:outlineLvl w:val="2"/>
    </w:pPr>
    <w:rPr>
      <w:b/>
      <w:bCs/>
      <w:color w:val="1F3863"/>
      <w:sz w:val="22"/>
      <w:szCs w:val="22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40"/>
      <w:outlineLvl w:val="3"/>
    </w:pPr>
    <w:rPr>
      <w:b/>
      <w:bCs/>
      <w:i/>
      <w:iCs/>
      <w:color w:val="000000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Sinespaciado">
    <w:name w:val="No Spacing"/>
    <w:uiPriority w:val="1"/>
    <w:qFormat/>
    <w:rsid w:val="00D0041A"/>
  </w:style>
  <w:style w:type="paragraph" w:styleId="TtuloTDC">
    <w:name w:val="TOC Heading"/>
    <w:basedOn w:val="Ttulo1"/>
    <w:next w:val="Normal"/>
    <w:uiPriority w:val="39"/>
    <w:unhideWhenUsed/>
    <w:qFormat/>
    <w:rsid w:val="004A168E"/>
    <w:pPr>
      <w:spacing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s-SV"/>
    </w:rPr>
  </w:style>
  <w:style w:type="paragraph" w:styleId="TDC1">
    <w:name w:val="toc 1"/>
    <w:basedOn w:val="Normal"/>
    <w:next w:val="Normal"/>
    <w:autoRedefine/>
    <w:uiPriority w:val="39"/>
    <w:unhideWhenUsed/>
    <w:rsid w:val="004A168E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4A168E"/>
    <w:pPr>
      <w:spacing w:after="100"/>
      <w:ind w:left="200"/>
    </w:pPr>
  </w:style>
  <w:style w:type="paragraph" w:styleId="TDC3">
    <w:name w:val="toc 3"/>
    <w:basedOn w:val="Normal"/>
    <w:next w:val="Normal"/>
    <w:autoRedefine/>
    <w:uiPriority w:val="39"/>
    <w:unhideWhenUsed/>
    <w:rsid w:val="004A168E"/>
    <w:pPr>
      <w:spacing w:after="100"/>
      <w:ind w:left="400"/>
    </w:pPr>
  </w:style>
  <w:style w:type="character" w:styleId="Hipervnculo">
    <w:name w:val="Hyperlink"/>
    <w:basedOn w:val="Fuentedeprrafopredeter"/>
    <w:uiPriority w:val="99"/>
    <w:unhideWhenUsed/>
    <w:rsid w:val="004A168E"/>
    <w:rPr>
      <w:color w:val="0000FF" w:themeColor="hyperlink"/>
      <w:u w:val="single"/>
    </w:rPr>
  </w:style>
  <w:style w:type="table" w:styleId="Tablaconcuadrcula">
    <w:name w:val="Table Grid"/>
    <w:basedOn w:val="Tablanormal"/>
    <w:uiPriority w:val="39"/>
    <w:rsid w:val="00FC74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7595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59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chart" Target="charts/chart5.xm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image" Target="media/image2.emf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chart" Target="charts/chart7.xml"/><Relationship Id="rId23" Type="http://schemas.openxmlformats.org/officeDocument/2006/relationships/theme" Target="theme/theme1.xml"/><Relationship Id="rId10" Type="http://schemas.openxmlformats.org/officeDocument/2006/relationships/chart" Target="charts/chart2.xm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C:\Users\jeffry.bonilla\Documents\Ministerio%20de%20Hacienda\UAIMF\INFORME%20DE%20LAS%20FINANZAS%20PUBLICAS\TABLAS%20Y%20GRAFICOS%20informe%20coyuntura%20fiscal%204%202025%20(2)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effry.bonilla\Documents\Ministerio%20de%20Hacienda\UAIMF\INFORME%20DE%20LAS%20FINANZAS%20PUBLICAS\TABLAS%20Y%20GRAFICOS%20informe%20coyuntura%20fiscal%204%202025%20(2)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oleObject" Target="file:///C:\Users\jeffry.bonilla\Documents\Ministerio%20de%20Hacienda\UAIMF\INFORME%20DE%20LAS%20FINANZAS%20PUBLICAS\C&#225;lculos%20informe%20coyuntura%20fiscal%204%202025%20(1).xlsx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oleObject" Target="file:///C:\Users\jeffry.bonilla\Documents\Ministerio%20de%20Hacienda\UAIMF\INFORME%20DE%20LAS%20FINANZAS%20PUBLICAS\C&#225;lculos%20informe%20coyuntura%20fiscal%204%202025%20(1).xlsx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effry.bonilla\Documents\Ministerio%20de%20Hacienda\UAIMF\INFORME%20DE%20LAS%20FINANZAS%20PUBLICAS\C&#225;lculos%20informe%20coyuntura%20fiscal%204%202025%20(1)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effry.bonilla\Documents\Ministerio%20de%20Hacienda\UAIMF\INFORME%20DE%20LAS%20FINANZAS%20PUBLICAS\TABLAS%20Y%20GRAFICOS%20informe%20coyuntura%20fiscal%204%202025%20(2)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effry.bonilla\Documents\Ministerio%20de%20Hacienda\UAIMF\INFORME%20DE%20LAS%20FINANZAS%20PUBLICAS\TABLAS%20Y%20GRAFICOS%20informe%20coyuntura%20fiscal%204%202025%20(2)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effry.bonilla\Documents\Ministerio%20de%20Hacienda\UAIMF\INFORME%20DE%20LAS%20FINANZAS%20PUBLICAS\TABLAS%20Y%20GRAFICOS%20informe%20coyuntura%20fiscal%204%202025%20(2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'g1INGRESOS TOTALES'!$A$2</c:f>
              <c:strCache>
                <c:ptCount val="1"/>
                <c:pt idx="0">
                  <c:v>Tributarios</c:v>
                </c:pt>
              </c:strCache>
            </c:strRef>
          </c:tx>
          <c:spPr>
            <a:solidFill>
              <a:srgbClr val="1F497D">
                <a:lumMod val="40000"/>
                <a:lumOff val="60000"/>
              </a:srgbClr>
            </a:solidFill>
            <a:ln>
              <a:noFill/>
            </a:ln>
            <a:effectLst/>
          </c:spPr>
          <c:invertIfNegative val="0"/>
          <c:cat>
            <c:numRef>
              <c:f>'g1INGRESOS TOTALES'!$B$1:$G$1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'g1INGRESOS TOTALES'!$B$2:$G$2</c:f>
              <c:numCache>
                <c:formatCode>#,##0.0</c:formatCode>
                <c:ptCount val="6"/>
                <c:pt idx="0">
                  <c:v>4625.8</c:v>
                </c:pt>
                <c:pt idx="1">
                  <c:v>5833.5</c:v>
                </c:pt>
                <c:pt idx="2">
                  <c:v>6571.7</c:v>
                </c:pt>
                <c:pt idx="3">
                  <c:v>6881.7</c:v>
                </c:pt>
                <c:pt idx="4">
                  <c:v>7483.8</c:v>
                </c:pt>
                <c:pt idx="5">
                  <c:v>8108.8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A0E-4220-A518-1A81C7878623}"/>
            </c:ext>
          </c:extLst>
        </c:ser>
        <c:ser>
          <c:idx val="1"/>
          <c:order val="1"/>
          <c:tx>
            <c:strRef>
              <c:f>'g1INGRESOS TOTALES'!$A$3</c:f>
              <c:strCache>
                <c:ptCount val="1"/>
                <c:pt idx="0">
                  <c:v>No tributarios</c:v>
                </c:pt>
              </c:strCache>
            </c:strRef>
          </c:tx>
          <c:spPr>
            <a:solidFill>
              <a:schemeClr val="accent1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cat>
            <c:numRef>
              <c:f>'g1INGRESOS TOTALES'!$B$1:$G$1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'g1INGRESOS TOTALES'!$B$3:$G$3</c:f>
              <c:numCache>
                <c:formatCode>#,##0.0</c:formatCode>
                <c:ptCount val="6"/>
                <c:pt idx="0">
                  <c:v>902.9</c:v>
                </c:pt>
                <c:pt idx="1">
                  <c:v>1054.0999999999999</c:v>
                </c:pt>
                <c:pt idx="2">
                  <c:v>1129.2</c:v>
                </c:pt>
                <c:pt idx="3">
                  <c:v>1270.5999999999999</c:v>
                </c:pt>
                <c:pt idx="4">
                  <c:v>1306.3</c:v>
                </c:pt>
                <c:pt idx="5">
                  <c:v>1517.2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A0E-4220-A518-1A81C7878623}"/>
            </c:ext>
          </c:extLst>
        </c:ser>
        <c:ser>
          <c:idx val="2"/>
          <c:order val="2"/>
          <c:tx>
            <c:strRef>
              <c:f>'g1INGRESOS TOTALES'!$A$4</c:f>
              <c:strCache>
                <c:ptCount val="1"/>
                <c:pt idx="0">
                  <c:v>Superavit de empr. públicas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'g1INGRESOS TOTALES'!$B$1:$G$1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'g1INGRESOS TOTALES'!$B$4:$G$4</c:f>
              <c:numCache>
                <c:formatCode>General</c:formatCode>
                <c:ptCount val="6"/>
                <c:pt idx="0">
                  <c:v>83</c:v>
                </c:pt>
                <c:pt idx="1">
                  <c:v>148.66999999999999</c:v>
                </c:pt>
                <c:pt idx="2">
                  <c:v>196.6</c:v>
                </c:pt>
                <c:pt idx="3">
                  <c:v>184.3</c:v>
                </c:pt>
                <c:pt idx="4">
                  <c:v>225.2</c:v>
                </c:pt>
                <c:pt idx="5">
                  <c:v>155.80000000000001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A0E-4220-A518-1A81C7878623}"/>
            </c:ext>
          </c:extLst>
        </c:ser>
        <c:ser>
          <c:idx val="3"/>
          <c:order val="3"/>
          <c:tx>
            <c:strRef>
              <c:f>'g1INGRESOS TOTALES'!$A$5</c:f>
              <c:strCache>
                <c:ptCount val="1"/>
                <c:pt idx="0">
                  <c:v>Donac. e ingr. de capital</c:v>
                </c:pt>
              </c:strCache>
            </c:strRef>
          </c:tx>
          <c:spPr>
            <a:solidFill>
              <a:srgbClr val="1F497D">
                <a:lumMod val="60000"/>
                <a:lumOff val="40000"/>
              </a:srgbClr>
            </a:solidFill>
            <a:ln>
              <a:noFill/>
            </a:ln>
            <a:effectLst/>
          </c:spPr>
          <c:invertIfNegative val="0"/>
          <c:cat>
            <c:numRef>
              <c:f>'g1INGRESOS TOTALES'!$B$1:$G$1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'g1INGRESOS TOTALES'!$B$5:$G$5</c:f>
              <c:numCache>
                <c:formatCode>General</c:formatCode>
                <c:ptCount val="6"/>
                <c:pt idx="0">
                  <c:v>127.1</c:v>
                </c:pt>
                <c:pt idx="1">
                  <c:v>23.21</c:v>
                </c:pt>
                <c:pt idx="2">
                  <c:v>19.399999999999999</c:v>
                </c:pt>
                <c:pt idx="3">
                  <c:v>20.8</c:v>
                </c:pt>
                <c:pt idx="4">
                  <c:v>32.9</c:v>
                </c:pt>
                <c:pt idx="5">
                  <c:v>21.9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A0E-4220-A518-1A81C78786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581155327"/>
        <c:axId val="1172659855"/>
      </c:barChart>
      <c:lineChart>
        <c:grouping val="standard"/>
        <c:varyColors val="0"/>
        <c:ser>
          <c:idx val="4"/>
          <c:order val="4"/>
          <c:tx>
            <c:strRef>
              <c:f>'g1INGRESOS TOTALES'!$A$6</c:f>
              <c:strCache>
                <c:ptCount val="1"/>
                <c:pt idx="0">
                  <c:v>Total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rgbClr val="1F497D">
                  <a:lumMod val="60000"/>
                  <a:lumOff val="40000"/>
                </a:srgbClr>
              </a:solidFill>
              <a:ln w="9525">
                <a:solidFill>
                  <a:schemeClr val="accent5"/>
                </a:solidFill>
              </a:ln>
              <a:effectLst/>
            </c:spPr>
          </c:marker>
          <c:cat>
            <c:numRef>
              <c:f>'g1INGRESOS TOTALES'!$B$1:$E$1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'g1INGRESOS TOTALES'!$B$6:$G$6</c:f>
              <c:numCache>
                <c:formatCode>#,##0.0</c:formatCode>
                <c:ptCount val="6"/>
                <c:pt idx="0">
                  <c:v>5738.8</c:v>
                </c:pt>
                <c:pt idx="1">
                  <c:v>7059.4800000000005</c:v>
                </c:pt>
                <c:pt idx="2">
                  <c:v>7916.9</c:v>
                </c:pt>
                <c:pt idx="3">
                  <c:v>8357.5</c:v>
                </c:pt>
                <c:pt idx="4">
                  <c:v>9048.2000000000007</c:v>
                </c:pt>
                <c:pt idx="5">
                  <c:v>9803.6999999999989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AA0E-4220-A518-1A81C78786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81155327"/>
        <c:axId val="1172659855"/>
      </c:lineChart>
      <c:lineChart>
        <c:grouping val="standard"/>
        <c:varyColors val="0"/>
        <c:ser>
          <c:idx val="5"/>
          <c:order val="5"/>
          <c:tx>
            <c:strRef>
              <c:f>'g1INGRESOS TOTALES'!$A$7</c:f>
              <c:strCache>
                <c:ptCount val="1"/>
                <c:pt idx="0">
                  <c:v>% del PIB (eje der.)</c:v>
                </c:pt>
              </c:strCache>
            </c:strRef>
          </c:tx>
          <c:spPr>
            <a:ln w="22225" cap="rnd">
              <a:solidFill>
                <a:srgbClr val="1F497D">
                  <a:lumMod val="75000"/>
                </a:srgbClr>
              </a:solidFill>
              <a:round/>
            </a:ln>
            <a:effectLst/>
          </c:spPr>
          <c:marker>
            <c:symbol val="square"/>
            <c:size val="4"/>
            <c:spPr>
              <a:solidFill>
                <a:srgbClr val="00B0F0"/>
              </a:solidFill>
              <a:ln w="9525">
                <a:solidFill>
                  <a:srgbClr val="1F497D">
                    <a:lumMod val="75000"/>
                  </a:srgbClr>
                </a:solidFill>
              </a:ln>
              <a:effectLst/>
            </c:spPr>
          </c:marker>
          <c:dLbls>
            <c:spPr>
              <a:solidFill>
                <a:srgbClr val="002060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SV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'g1INGRESOS TOTALES'!$B$1:$E$1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'g1INGRESOS TOTALES'!$B$7:$G$7</c:f>
              <c:numCache>
                <c:formatCode>0.0</c:formatCode>
                <c:ptCount val="6"/>
                <c:pt idx="0">
                  <c:v>23.027792814067066</c:v>
                </c:pt>
                <c:pt idx="1">
                  <c:v>24.30687590942302</c:v>
                </c:pt>
                <c:pt idx="2">
                  <c:v>24.841145793206152</c:v>
                </c:pt>
                <c:pt idx="3">
                  <c:v>24.899131369227522</c:v>
                </c:pt>
                <c:pt idx="4">
                  <c:v>25.941139686928782</c:v>
                </c:pt>
                <c:pt idx="5">
                  <c:v>26.70717835690969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AA0E-4220-A518-1A81C78786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81176927"/>
        <c:axId val="1172663183"/>
      </c:lineChart>
      <c:catAx>
        <c:axId val="58115532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1172659855"/>
        <c:crosses val="autoZero"/>
        <c:auto val="1"/>
        <c:lblAlgn val="ctr"/>
        <c:lblOffset val="100"/>
        <c:noMultiLvlLbl val="0"/>
      </c:catAx>
      <c:valAx>
        <c:axId val="1172659855"/>
        <c:scaling>
          <c:orientation val="minMax"/>
          <c:max val="10000"/>
          <c:min val="2000"/>
        </c:scaling>
        <c:delete val="0"/>
        <c:axPos val="l"/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581155327"/>
        <c:crosses val="autoZero"/>
        <c:crossBetween val="between"/>
      </c:valAx>
      <c:valAx>
        <c:axId val="1172663183"/>
        <c:scaling>
          <c:orientation val="minMax"/>
          <c:min val="20"/>
        </c:scaling>
        <c:delete val="0"/>
        <c:axPos val="r"/>
        <c:numFmt formatCode="0.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581176927"/>
        <c:crosses val="max"/>
        <c:crossBetween val="between"/>
        <c:majorUnit val="1"/>
      </c:valAx>
      <c:catAx>
        <c:axId val="581176927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172663183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SV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'Datos graf'!$C$6</c:f>
              <c:strCache>
                <c:ptCount val="1"/>
                <c:pt idx="0">
                  <c:v>IT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solidFill>
                <a:srgbClr val="002060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SV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'Datos graf'!$B$8:$B$24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'Datos graf'!$C$8:$C$24</c:f>
              <c:numCache>
                <c:formatCode>#,##0.0</c:formatCode>
                <c:ptCount val="6"/>
                <c:pt idx="0">
                  <c:v>4625.8999999999996</c:v>
                </c:pt>
                <c:pt idx="1">
                  <c:v>5833.5</c:v>
                </c:pt>
                <c:pt idx="2">
                  <c:v>6571.7</c:v>
                </c:pt>
                <c:pt idx="3">
                  <c:v>6881.7</c:v>
                </c:pt>
                <c:pt idx="4">
                  <c:v>7483.8</c:v>
                </c:pt>
                <c:pt idx="5">
                  <c:v>8108.8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55F-45C8-B777-2C7AC3F230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5"/>
        <c:axId val="433605368"/>
        <c:axId val="433597528"/>
      </c:barChart>
      <c:lineChart>
        <c:grouping val="standard"/>
        <c:varyColors val="0"/>
        <c:ser>
          <c:idx val="2"/>
          <c:order val="1"/>
          <c:tx>
            <c:strRef>
              <c:f>'Datos graf'!$E$6</c:f>
              <c:strCache>
                <c:ptCount val="1"/>
                <c:pt idx="0">
                  <c:v>% PIB</c:v>
                </c:pt>
              </c:strCache>
            </c:strRef>
          </c:tx>
          <c:spPr>
            <a:ln w="31750" cap="rnd">
              <a:solidFill>
                <a:srgbClr val="0070C0"/>
              </a:solidFill>
              <a:round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marker>
            <c:symbol val="circle"/>
            <c:size val="6"/>
            <c:spPr>
              <a:solidFill>
                <a:schemeClr val="accent1">
                  <a:lumMod val="50000"/>
                </a:schemeClr>
              </a:solidFill>
              <a:ln w="12700">
                <a:solidFill>
                  <a:srgbClr val="0070C0"/>
                </a:solidFill>
                <a:round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es-SV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'Datos graf'!$E$8:$E$24</c:f>
              <c:numCache>
                <c:formatCode>0.0%</c:formatCode>
                <c:ptCount val="6"/>
                <c:pt idx="0">
                  <c:v>0.1856211521199429</c:v>
                </c:pt>
                <c:pt idx="1">
                  <c:v>0.20085638123150595</c:v>
                </c:pt>
                <c:pt idx="2">
                  <c:v>0.20620262704999795</c:v>
                </c:pt>
                <c:pt idx="3">
                  <c:v>0.2050234547934347</c:v>
                </c:pt>
                <c:pt idx="4">
                  <c:v>0.21456013482133199</c:v>
                </c:pt>
                <c:pt idx="5">
                  <c:v>0.22089942354469158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55F-45C8-B777-2C7AC3F230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33600272"/>
        <c:axId val="433598312"/>
      </c:lineChart>
      <c:catAx>
        <c:axId val="4336053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433597528"/>
        <c:crosses val="autoZero"/>
        <c:auto val="1"/>
        <c:lblAlgn val="ctr"/>
        <c:lblOffset val="100"/>
        <c:noMultiLvlLbl val="0"/>
      </c:catAx>
      <c:valAx>
        <c:axId val="433597528"/>
        <c:scaling>
          <c:orientation val="minMax"/>
          <c:max val="10000"/>
          <c:min val="0"/>
        </c:scaling>
        <c:delete val="0"/>
        <c:axPos val="l"/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433605368"/>
        <c:crosses val="autoZero"/>
        <c:crossBetween val="between"/>
      </c:valAx>
      <c:catAx>
        <c:axId val="433600272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433598312"/>
        <c:crosses val="autoZero"/>
        <c:auto val="1"/>
        <c:lblAlgn val="ctr"/>
        <c:lblOffset val="100"/>
        <c:noMultiLvlLbl val="0"/>
      </c:catAx>
      <c:valAx>
        <c:axId val="433598312"/>
        <c:scaling>
          <c:orientation val="minMax"/>
          <c:max val="0.25"/>
          <c:min val="5.000000000000001E-2"/>
        </c:scaling>
        <c:delete val="0"/>
        <c:axPos val="r"/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433600272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s-SV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SV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'Ingr tribut(G3)'!$B$3</c:f>
              <c:strCache>
                <c:ptCount val="1"/>
                <c:pt idx="0">
                  <c:v>IVA</c:v>
                </c:pt>
              </c:strCache>
            </c:strRef>
          </c:tx>
          <c:spPr>
            <a:solidFill>
              <a:srgbClr val="4F81BD">
                <a:lumMod val="75000"/>
              </a:srgbClr>
            </a:solidFill>
            <a:ln>
              <a:noFill/>
            </a:ln>
            <a:effectLst/>
          </c:spPr>
          <c:invertIfNegative val="0"/>
          <c:cat>
            <c:numRef>
              <c:f>'Ingr tribut(G3)'!$A$4:$A$18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'Ingr tribut(G3)'!$B$4:$B$18</c:f>
              <c:numCache>
                <c:formatCode>#,##0.0</c:formatCode>
                <c:ptCount val="6"/>
                <c:pt idx="0">
                  <c:v>2072.9</c:v>
                </c:pt>
                <c:pt idx="1">
                  <c:v>2790.5</c:v>
                </c:pt>
                <c:pt idx="2">
                  <c:v>3024.8</c:v>
                </c:pt>
                <c:pt idx="3">
                  <c:v>3176.2</c:v>
                </c:pt>
                <c:pt idx="4">
                  <c:v>3500.9</c:v>
                </c:pt>
                <c:pt idx="5">
                  <c:v>3817.6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B81-4F07-B543-443111087ADB}"/>
            </c:ext>
          </c:extLst>
        </c:ser>
        <c:ser>
          <c:idx val="1"/>
          <c:order val="1"/>
          <c:tx>
            <c:strRef>
              <c:f>'Ingr tribut(G3)'!$C$3</c:f>
              <c:strCache>
                <c:ptCount val="1"/>
                <c:pt idx="0">
                  <c:v>ISR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cat>
            <c:numRef>
              <c:f>'Ingr tribut(G3)'!$A$4:$A$18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'Ingr tribut(G3)'!$C$4:$C$18</c:f>
              <c:numCache>
                <c:formatCode>#,##0.0</c:formatCode>
                <c:ptCount val="6"/>
                <c:pt idx="0">
                  <c:v>1907.1</c:v>
                </c:pt>
                <c:pt idx="1">
                  <c:v>2225.8000000000002</c:v>
                </c:pt>
                <c:pt idx="2">
                  <c:v>2782.3</c:v>
                </c:pt>
                <c:pt idx="3">
                  <c:v>2877.4</c:v>
                </c:pt>
                <c:pt idx="4">
                  <c:v>3102.8</c:v>
                </c:pt>
                <c:pt idx="5">
                  <c:v>3328.3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B81-4F07-B543-443111087ADB}"/>
            </c:ext>
          </c:extLst>
        </c:ser>
        <c:ser>
          <c:idx val="2"/>
          <c:order val="2"/>
          <c:tx>
            <c:strRef>
              <c:f>'Ingr tribut(G3)'!$D$3</c:f>
              <c:strCache>
                <c:ptCount val="1"/>
                <c:pt idx="0">
                  <c:v>Aranceles</c:v>
                </c:pt>
              </c:strCache>
            </c:strRef>
          </c:tx>
          <c:spPr>
            <a:solidFill>
              <a:srgbClr val="4F81BD">
                <a:lumMod val="40000"/>
                <a:lumOff val="60000"/>
              </a:srgbClr>
            </a:solidFill>
            <a:ln>
              <a:noFill/>
            </a:ln>
            <a:effectLst/>
          </c:spPr>
          <c:invertIfNegative val="0"/>
          <c:cat>
            <c:numRef>
              <c:f>'Ingr tribut(G3)'!$A$4:$A$18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'Ingr tribut(G3)'!$D$4:$D$18</c:f>
              <c:numCache>
                <c:formatCode>General</c:formatCode>
                <c:ptCount val="6"/>
                <c:pt idx="0">
                  <c:v>186.8</c:v>
                </c:pt>
                <c:pt idx="1">
                  <c:v>291.2</c:v>
                </c:pt>
                <c:pt idx="2">
                  <c:v>318.7</c:v>
                </c:pt>
                <c:pt idx="3">
                  <c:v>322.10000000000002</c:v>
                </c:pt>
                <c:pt idx="4" formatCode="#,##0.0">
                  <c:v>340.7</c:v>
                </c:pt>
                <c:pt idx="5" formatCode="0.0">
                  <c:v>383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B81-4F07-B543-443111087ADB}"/>
            </c:ext>
          </c:extLst>
        </c:ser>
        <c:ser>
          <c:idx val="3"/>
          <c:order val="3"/>
          <c:tx>
            <c:strRef>
              <c:f>'Ingr tribut(G3)'!$E$3</c:f>
              <c:strCache>
                <c:ptCount val="1"/>
                <c:pt idx="0">
                  <c:v>Espec.</c:v>
                </c:pt>
              </c:strCache>
            </c:strRef>
          </c:tx>
          <c:spPr>
            <a:solidFill>
              <a:srgbClr val="1F497D">
                <a:lumMod val="40000"/>
                <a:lumOff val="60000"/>
              </a:srgbClr>
            </a:solidFill>
            <a:ln>
              <a:noFill/>
            </a:ln>
            <a:effectLst/>
          </c:spPr>
          <c:invertIfNegative val="0"/>
          <c:cat>
            <c:numRef>
              <c:f>'Ingr tribut(G3)'!$A$4:$A$18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'Ingr tribut(G3)'!$E$4:$E$18</c:f>
              <c:numCache>
                <c:formatCode>General</c:formatCode>
                <c:ptCount val="6"/>
                <c:pt idx="0" formatCode="0.0">
                  <c:v>185</c:v>
                </c:pt>
                <c:pt idx="1">
                  <c:v>225.2</c:v>
                </c:pt>
                <c:pt idx="2">
                  <c:v>225.9</c:v>
                </c:pt>
                <c:pt idx="3">
                  <c:v>232</c:v>
                </c:pt>
                <c:pt idx="4" formatCode="#,##0.0">
                  <c:v>235.9</c:v>
                </c:pt>
                <c:pt idx="5">
                  <c:v>245.1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B81-4F07-B543-443111087ADB}"/>
            </c:ext>
          </c:extLst>
        </c:ser>
        <c:ser>
          <c:idx val="4"/>
          <c:order val="4"/>
          <c:tx>
            <c:strRef>
              <c:f>'Ingr tribut(G3)'!$F$3</c:f>
              <c:strCache>
                <c:ptCount val="1"/>
                <c:pt idx="0">
                  <c:v>Contribuciones espec.</c:v>
                </c:pt>
              </c:strCache>
            </c:strRef>
          </c:tx>
          <c:spPr>
            <a:solidFill>
              <a:sysClr val="window" lastClr="FFFFFF">
                <a:lumMod val="50000"/>
              </a:sysClr>
            </a:solidFill>
            <a:ln>
              <a:noFill/>
            </a:ln>
            <a:effectLst/>
          </c:spPr>
          <c:invertIfNegative val="0"/>
          <c:cat>
            <c:numRef>
              <c:f>'Ingr tribut(G3)'!$A$4:$A$18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'Ingr tribut(G3)'!$F$4:$F$18</c:f>
              <c:numCache>
                <c:formatCode>General</c:formatCode>
                <c:ptCount val="6"/>
                <c:pt idx="0">
                  <c:v>241.1</c:v>
                </c:pt>
                <c:pt idx="1">
                  <c:v>239.4</c:v>
                </c:pt>
                <c:pt idx="2">
                  <c:v>148.80000000000001</c:v>
                </c:pt>
                <c:pt idx="3">
                  <c:v>183.3</c:v>
                </c:pt>
                <c:pt idx="4" formatCode="#,##0.0">
                  <c:v>194.3</c:v>
                </c:pt>
                <c:pt idx="5">
                  <c:v>206.2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B81-4F07-B543-443111087ADB}"/>
            </c:ext>
          </c:extLst>
        </c:ser>
        <c:ser>
          <c:idx val="5"/>
          <c:order val="5"/>
          <c:tx>
            <c:strRef>
              <c:f>'Ingr tribut(G3)'!$G$3</c:f>
              <c:strCache>
                <c:ptCount val="1"/>
                <c:pt idx="0">
                  <c:v>Otros</c:v>
                </c:pt>
              </c:strCache>
            </c:strRef>
          </c:tx>
          <c:spPr>
            <a:solidFill>
              <a:sysClr val="window" lastClr="FFFFFF">
                <a:lumMod val="65000"/>
              </a:sysClr>
            </a:solidFill>
            <a:ln>
              <a:noFill/>
            </a:ln>
            <a:effectLst/>
          </c:spPr>
          <c:invertIfNegative val="0"/>
          <c:cat>
            <c:numRef>
              <c:f>'Ingr tribut(G3)'!$A$4:$A$18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'Ingr tribut(G3)'!$G$4:$G$18</c:f>
              <c:numCache>
                <c:formatCode>General</c:formatCode>
                <c:ptCount val="6"/>
                <c:pt idx="0" formatCode="0.0">
                  <c:v>33</c:v>
                </c:pt>
                <c:pt idx="1">
                  <c:v>61.5</c:v>
                </c:pt>
                <c:pt idx="2">
                  <c:v>71.099999999999994</c:v>
                </c:pt>
                <c:pt idx="3">
                  <c:v>90.8</c:v>
                </c:pt>
                <c:pt idx="4" formatCode="#,##0.0">
                  <c:v>109.3</c:v>
                </c:pt>
                <c:pt idx="5">
                  <c:v>128.6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B81-4F07-B543-443111087A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96661695"/>
        <c:axId val="1399184703"/>
      </c:barChart>
      <c:catAx>
        <c:axId val="139666169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1399184703"/>
        <c:crosses val="autoZero"/>
        <c:auto val="1"/>
        <c:lblAlgn val="ctr"/>
        <c:lblOffset val="100"/>
        <c:noMultiLvlLbl val="0"/>
      </c:catAx>
      <c:valAx>
        <c:axId val="1399184703"/>
        <c:scaling>
          <c:orientation val="minMax"/>
          <c:max val="8000"/>
        </c:scaling>
        <c:delete val="0"/>
        <c:axPos val="l"/>
        <c:numFmt formatCode="#,##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139666169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SV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SV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2978937007874017"/>
          <c:y val="5.0925925925925923E-2"/>
          <c:w val="0.78465748031496063"/>
          <c:h val="0.71796567120243249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'Gto tot'!$B$3</c:f>
              <c:strCache>
                <c:ptCount val="1"/>
                <c:pt idx="0">
                  <c:v>Gasto Corriente</c:v>
                </c:pt>
              </c:strCache>
            </c:strRef>
          </c:tx>
          <c:spPr>
            <a:solidFill>
              <a:srgbClr val="4F81BD">
                <a:lumMod val="75000"/>
              </a:srgbClr>
            </a:solidFill>
            <a:ln>
              <a:noFill/>
            </a:ln>
            <a:effectLst/>
          </c:spPr>
          <c:invertIfNegative val="0"/>
          <c:cat>
            <c:numRef>
              <c:f>'Gto tot'!$A$4:$A$12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'Gto tot'!$B$4:$B$12</c:f>
              <c:numCache>
                <c:formatCode>#,##0.0</c:formatCode>
                <c:ptCount val="6"/>
                <c:pt idx="0">
                  <c:v>6787.7</c:v>
                </c:pt>
                <c:pt idx="1">
                  <c:v>7389.2</c:v>
                </c:pt>
                <c:pt idx="2">
                  <c:v>7592.3</c:v>
                </c:pt>
                <c:pt idx="3">
                  <c:v>7691</c:v>
                </c:pt>
                <c:pt idx="4">
                  <c:v>9222.1</c:v>
                </c:pt>
                <c:pt idx="5">
                  <c:v>9149.7000000000007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401-42C0-8395-2677B815EAC0}"/>
            </c:ext>
          </c:extLst>
        </c:ser>
        <c:ser>
          <c:idx val="1"/>
          <c:order val="1"/>
          <c:tx>
            <c:strRef>
              <c:f>'Gto tot'!$C$3</c:f>
              <c:strCache>
                <c:ptCount val="1"/>
                <c:pt idx="0">
                  <c:v>Gasto de Capital</c:v>
                </c:pt>
              </c:strCache>
            </c:strRef>
          </c:tx>
          <c:spPr>
            <a:solidFill>
              <a:srgbClr val="1F497D">
                <a:lumMod val="60000"/>
                <a:lumOff val="40000"/>
              </a:srgbClr>
            </a:solidFill>
            <a:ln>
              <a:noFill/>
            </a:ln>
            <a:effectLst/>
          </c:spPr>
          <c:invertIfNegative val="0"/>
          <c:cat>
            <c:numRef>
              <c:f>'Gto tot'!$A$4:$A$12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'Gto tot'!$C$4:$C$12</c:f>
              <c:numCache>
                <c:formatCode>General</c:formatCode>
                <c:ptCount val="6"/>
                <c:pt idx="0">
                  <c:v>688.1</c:v>
                </c:pt>
                <c:pt idx="1">
                  <c:v>985.83</c:v>
                </c:pt>
                <c:pt idx="2">
                  <c:v>861.6</c:v>
                </c:pt>
                <c:pt idx="3">
                  <c:v>1457.8</c:v>
                </c:pt>
                <c:pt idx="4">
                  <c:v>1435</c:v>
                </c:pt>
                <c:pt idx="5" formatCode="#,##0.0">
                  <c:v>1756.3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401-42C0-8395-2677B815EA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456911247"/>
        <c:axId val="762982623"/>
      </c:barChart>
      <c:lineChart>
        <c:grouping val="stacked"/>
        <c:varyColors val="0"/>
        <c:ser>
          <c:idx val="2"/>
          <c:order val="2"/>
          <c:tx>
            <c:strRef>
              <c:f>'Gto tot'!$D$3</c:f>
              <c:strCache>
                <c:ptCount val="1"/>
                <c:pt idx="0">
                  <c:v>Gasto Total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none"/>
          </c:marker>
          <c:cat>
            <c:numRef>
              <c:f>'Gto tot'!$A$4:$A$12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'Gto tot'!$D$4:$D$12</c:f>
              <c:numCache>
                <c:formatCode>#,##0.0</c:formatCode>
                <c:ptCount val="6"/>
                <c:pt idx="0">
                  <c:v>7475.8</c:v>
                </c:pt>
                <c:pt idx="1">
                  <c:v>8375</c:v>
                </c:pt>
                <c:pt idx="2">
                  <c:v>8453.7999999999993</c:v>
                </c:pt>
                <c:pt idx="3">
                  <c:v>9148.7999999999993</c:v>
                </c:pt>
                <c:pt idx="4">
                  <c:v>10657.1</c:v>
                </c:pt>
                <c:pt idx="5">
                  <c:v>10853.8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9401-42C0-8395-2677B815EAC0}"/>
            </c:ext>
          </c:extLst>
        </c:ser>
        <c:ser>
          <c:idx val="4"/>
          <c:order val="4"/>
          <c:tx>
            <c:strRef>
              <c:f>'Gto tot'!$F$3</c:f>
              <c:strCache>
                <c:ptCount val="1"/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square"/>
            <c:size val="5"/>
            <c:spPr>
              <a:solidFill>
                <a:srgbClr val="002060"/>
              </a:solidFill>
              <a:ln w="9525">
                <a:noFill/>
              </a:ln>
              <a:effectLst/>
            </c:spPr>
          </c:marker>
          <c:cat>
            <c:numRef>
              <c:f>'Gto tot'!$A$4:$A$12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'Gto tot'!$E$4:$E$12</c:f>
              <c:numCache>
                <c:formatCode>#,##0.0</c:formatCode>
                <c:ptCount val="6"/>
                <c:pt idx="0">
                  <c:v>29.997764954241752</c:v>
                </c:pt>
                <c:pt idx="1">
                  <c:v>28.836413693560679</c:v>
                </c:pt>
                <c:pt idx="2">
                  <c:v>26.525796499463951</c:v>
                </c:pt>
                <c:pt idx="3">
                  <c:v>27.256616580411457</c:v>
                </c:pt>
                <c:pt idx="4">
                  <c:v>30.553847147230247</c:v>
                </c:pt>
                <c:pt idx="5">
                  <c:v>29.56785422342854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9401-42C0-8395-2677B815EA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56911247"/>
        <c:axId val="762982623"/>
      </c:lineChart>
      <c:lineChart>
        <c:grouping val="stacked"/>
        <c:varyColors val="0"/>
        <c:ser>
          <c:idx val="3"/>
          <c:order val="3"/>
          <c:tx>
            <c:strRef>
              <c:f>'Gto tot'!$E$3</c:f>
              <c:strCache>
                <c:ptCount val="1"/>
                <c:pt idx="0">
                  <c:v>% del PIB (eje der.)</c:v>
                </c:pt>
              </c:strCache>
            </c:strRef>
          </c:tx>
          <c:spPr>
            <a:ln w="19050" cap="rnd">
              <a:solidFill>
                <a:sysClr val="window" lastClr="FFFFFF">
                  <a:lumMod val="65000"/>
                </a:sysClr>
              </a:solidFill>
              <a:round/>
            </a:ln>
            <a:effectLst/>
          </c:spPr>
          <c:marker>
            <c:symbol val="square"/>
            <c:size val="5"/>
            <c:spPr>
              <a:solidFill>
                <a:srgbClr val="0070C0"/>
              </a:solidFill>
              <a:ln w="19050">
                <a:solidFill>
                  <a:sysClr val="window" lastClr="FFFFFF">
                    <a:lumMod val="65000"/>
                  </a:sysClr>
                </a:solidFill>
              </a:ln>
              <a:effectLst/>
            </c:spPr>
          </c:marker>
          <c:dLbls>
            <c:spPr>
              <a:solidFill>
                <a:srgbClr val="4F81BD">
                  <a:lumMod val="20000"/>
                  <a:lumOff val="80000"/>
                </a:srgb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Museo Sans 300" panose="02000000000000000000" pitchFamily="50" charset="0"/>
                    <a:ea typeface="+mn-ea"/>
                    <a:cs typeface="+mn-cs"/>
                  </a:defRPr>
                </a:pPr>
                <a:endParaRPr lang="es-SV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'Gto tot'!$A$4:$A$12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'Gto tot'!$E$4:$E$12</c:f>
              <c:numCache>
                <c:formatCode>#,##0.0</c:formatCode>
                <c:ptCount val="6"/>
                <c:pt idx="0">
                  <c:v>29.997764954241752</c:v>
                </c:pt>
                <c:pt idx="1">
                  <c:v>28.836413693560679</c:v>
                </c:pt>
                <c:pt idx="2">
                  <c:v>26.525796499463951</c:v>
                </c:pt>
                <c:pt idx="3">
                  <c:v>27.256616580411457</c:v>
                </c:pt>
                <c:pt idx="4">
                  <c:v>30.553847147230247</c:v>
                </c:pt>
                <c:pt idx="5">
                  <c:v>29.56785422342854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9401-42C0-8395-2677B815EA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78984303"/>
        <c:axId val="1631454575"/>
      </c:lineChart>
      <c:catAx>
        <c:axId val="145691124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Museo Sans 300" panose="02000000000000000000" pitchFamily="50" charset="0"/>
                <a:ea typeface="+mn-ea"/>
                <a:cs typeface="+mn-cs"/>
              </a:defRPr>
            </a:pPr>
            <a:endParaRPr lang="es-SV"/>
          </a:p>
        </c:txPr>
        <c:crossAx val="762982623"/>
        <c:crosses val="autoZero"/>
        <c:auto val="1"/>
        <c:lblAlgn val="ctr"/>
        <c:lblOffset val="100"/>
        <c:noMultiLvlLbl val="0"/>
      </c:catAx>
      <c:valAx>
        <c:axId val="762982623"/>
        <c:scaling>
          <c:orientation val="minMax"/>
        </c:scaling>
        <c:delete val="0"/>
        <c:axPos val="l"/>
        <c:numFmt formatCode="#,##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Museo Sans 300" panose="02000000000000000000" pitchFamily="50" charset="0"/>
                <a:ea typeface="+mn-ea"/>
                <a:cs typeface="+mn-cs"/>
              </a:defRPr>
            </a:pPr>
            <a:endParaRPr lang="es-SV"/>
          </a:p>
        </c:txPr>
        <c:crossAx val="1456911247"/>
        <c:crosses val="autoZero"/>
        <c:crossBetween val="between"/>
      </c:valAx>
      <c:valAx>
        <c:axId val="1631454575"/>
        <c:scaling>
          <c:orientation val="minMax"/>
        </c:scaling>
        <c:delete val="0"/>
        <c:axPos val="r"/>
        <c:numFmt formatCode="#,##0.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Museo Sans 300" panose="02000000000000000000" pitchFamily="50" charset="0"/>
                <a:ea typeface="+mn-ea"/>
                <a:cs typeface="+mn-cs"/>
              </a:defRPr>
            </a:pPr>
            <a:endParaRPr lang="es-SV"/>
          </a:p>
        </c:txPr>
        <c:crossAx val="1578984303"/>
        <c:crosses val="max"/>
        <c:crossBetween val="between"/>
      </c:valAx>
      <c:catAx>
        <c:axId val="1578984303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631454575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7526465441819774E-2"/>
          <c:y val="0.86458223972003501"/>
          <c:w val="0.92939151356080485"/>
          <c:h val="8.912146398366871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Museo Sans 300" panose="02000000000000000000" pitchFamily="50" charset="0"/>
              <a:ea typeface="+mn-ea"/>
              <a:cs typeface="+mn-cs"/>
            </a:defRPr>
          </a:pPr>
          <a:endParaRPr lang="es-SV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Museo Sans 300" panose="02000000000000000000" pitchFamily="50" charset="0"/>
        </a:defRPr>
      </a:pPr>
      <a:endParaRPr lang="es-SV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'Gto Cte'!$G$5</c:f>
              <c:strCache>
                <c:ptCount val="1"/>
                <c:pt idx="0">
                  <c:v>Remuneraciones</c:v>
                </c:pt>
              </c:strCache>
            </c:strRef>
          </c:tx>
          <c:spPr>
            <a:solidFill>
              <a:schemeClr val="tx2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bg1"/>
                    </a:solidFill>
                    <a:latin typeface="Museo Sans 300" panose="02000000000000000000" pitchFamily="50" charset="0"/>
                    <a:ea typeface="+mn-ea"/>
                    <a:cs typeface="+mn-cs"/>
                  </a:defRPr>
                </a:pPr>
                <a:endParaRPr lang="es-SV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'Gto Cte'!$A$19:$K$24</c:f>
              <c:multiLvlStrCache>
                <c:ptCount val="12"/>
                <c:lvl>
                  <c:pt idx="0">
                    <c:v>2020</c:v>
                  </c:pt>
                  <c:pt idx="1">
                    <c:v>2021</c:v>
                  </c:pt>
                  <c:pt idx="2">
                    <c:v>2022</c:v>
                  </c:pt>
                  <c:pt idx="3">
                    <c:v>2023</c:v>
                  </c:pt>
                  <c:pt idx="4">
                    <c:v>2024</c:v>
                  </c:pt>
                  <c:pt idx="5">
                    <c:v>2025</c:v>
                  </c:pt>
                  <c:pt idx="6">
                    <c:v>27%</c:v>
                  </c:pt>
                  <c:pt idx="7">
                    <c:v>25%</c:v>
                  </c:pt>
                  <c:pt idx="8">
                    <c:v>24%</c:v>
                  </c:pt>
                  <c:pt idx="9">
                    <c:v>23%</c:v>
                  </c:pt>
                  <c:pt idx="10">
                    <c:v>26%</c:v>
                  </c:pt>
                  <c:pt idx="11">
                    <c:v>25%</c:v>
                  </c:pt>
                </c:lvl>
                <c:lvl>
                  <c:pt idx="6">
                    <c:v>4%</c:v>
                  </c:pt>
                  <c:pt idx="7">
                    <c:v>4%</c:v>
                  </c:pt>
                  <c:pt idx="8">
                    <c:v>5%</c:v>
                  </c:pt>
                  <c:pt idx="9">
                    <c:v>4%</c:v>
                  </c:pt>
                  <c:pt idx="10">
                    <c:v>5%</c:v>
                  </c:pt>
                  <c:pt idx="11">
                    <c:v>5%</c:v>
                  </c:pt>
                </c:lvl>
                <c:lvl>
                  <c:pt idx="6">
                    <c:v>6%</c:v>
                  </c:pt>
                  <c:pt idx="7">
                    <c:v>5%</c:v>
                  </c:pt>
                  <c:pt idx="8">
                    <c:v>4%</c:v>
                  </c:pt>
                  <c:pt idx="9">
                    <c:v>4%</c:v>
                  </c:pt>
                  <c:pt idx="10">
                    <c:v>5%</c:v>
                  </c:pt>
                  <c:pt idx="11">
                    <c:v>5%</c:v>
                  </c:pt>
                </c:lvl>
                <c:lvl>
                  <c:pt idx="6">
                    <c:v>5%</c:v>
                  </c:pt>
                  <c:pt idx="7">
                    <c:v>5%</c:v>
                  </c:pt>
                  <c:pt idx="8">
                    <c:v>4%</c:v>
                  </c:pt>
                  <c:pt idx="9">
                    <c:v>5%</c:v>
                  </c:pt>
                  <c:pt idx="10">
                    <c:v>5%</c:v>
                  </c:pt>
                  <c:pt idx="11">
                    <c:v>5%</c:v>
                  </c:pt>
                </c:lvl>
                <c:lvl>
                  <c:pt idx="6">
                    <c:v>12%</c:v>
                  </c:pt>
                  <c:pt idx="7">
                    <c:v>11%</c:v>
                  </c:pt>
                  <c:pt idx="8">
                    <c:v>10%</c:v>
                  </c:pt>
                  <c:pt idx="9">
                    <c:v>11%</c:v>
                  </c:pt>
                  <c:pt idx="10">
                    <c:v>11%</c:v>
                  </c:pt>
                  <c:pt idx="11">
                    <c:v>10%</c:v>
                  </c:pt>
                </c:lvl>
              </c:multiLvlStrCache>
            </c:multiLvlStrRef>
          </c:cat>
          <c:val>
            <c:numRef>
              <c:f>'Gto Cte'!$G$19:$G$24</c:f>
              <c:numCache>
                <c:formatCode>0%</c:formatCode>
                <c:ptCount val="6"/>
                <c:pt idx="0">
                  <c:v>0.11770821762261353</c:v>
                </c:pt>
                <c:pt idx="1">
                  <c:v>0.11186806936164616</c:v>
                </c:pt>
                <c:pt idx="2">
                  <c:v>0.1046027139536073</c:v>
                </c:pt>
                <c:pt idx="3">
                  <c:v>0.10728597846057684</c:v>
                </c:pt>
                <c:pt idx="4">
                  <c:v>0.11264422058312951</c:v>
                </c:pt>
                <c:pt idx="5">
                  <c:v>0.10153342136111065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35D-43FB-8C24-6C241A6895AA}"/>
            </c:ext>
          </c:extLst>
        </c:ser>
        <c:ser>
          <c:idx val="1"/>
          <c:order val="1"/>
          <c:tx>
            <c:strRef>
              <c:f>'Gto Cte'!$H$5</c:f>
              <c:strCache>
                <c:ptCount val="1"/>
                <c:pt idx="0">
                  <c:v>B y S</c:v>
                </c:pt>
              </c:strCache>
            </c:strRef>
          </c:tx>
          <c:spPr>
            <a:solidFill>
              <a:schemeClr val="tx2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Museo Sans 300" panose="02000000000000000000" pitchFamily="50" charset="0"/>
                    <a:ea typeface="+mn-ea"/>
                    <a:cs typeface="+mn-cs"/>
                  </a:defRPr>
                </a:pPr>
                <a:endParaRPr lang="es-SV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'Gto Cte'!$A$19:$K$24</c:f>
              <c:multiLvlStrCache>
                <c:ptCount val="12"/>
                <c:lvl>
                  <c:pt idx="0">
                    <c:v>2020</c:v>
                  </c:pt>
                  <c:pt idx="1">
                    <c:v>2021</c:v>
                  </c:pt>
                  <c:pt idx="2">
                    <c:v>2022</c:v>
                  </c:pt>
                  <c:pt idx="3">
                    <c:v>2023</c:v>
                  </c:pt>
                  <c:pt idx="4">
                    <c:v>2024</c:v>
                  </c:pt>
                  <c:pt idx="5">
                    <c:v>2025</c:v>
                  </c:pt>
                  <c:pt idx="6">
                    <c:v>27%</c:v>
                  </c:pt>
                  <c:pt idx="7">
                    <c:v>25%</c:v>
                  </c:pt>
                  <c:pt idx="8">
                    <c:v>24%</c:v>
                  </c:pt>
                  <c:pt idx="9">
                    <c:v>23%</c:v>
                  </c:pt>
                  <c:pt idx="10">
                    <c:v>26%</c:v>
                  </c:pt>
                  <c:pt idx="11">
                    <c:v>25%</c:v>
                  </c:pt>
                </c:lvl>
                <c:lvl>
                  <c:pt idx="6">
                    <c:v>4%</c:v>
                  </c:pt>
                  <c:pt idx="7">
                    <c:v>4%</c:v>
                  </c:pt>
                  <c:pt idx="8">
                    <c:v>5%</c:v>
                  </c:pt>
                  <c:pt idx="9">
                    <c:v>4%</c:v>
                  </c:pt>
                  <c:pt idx="10">
                    <c:v>5%</c:v>
                  </c:pt>
                  <c:pt idx="11">
                    <c:v>5%</c:v>
                  </c:pt>
                </c:lvl>
                <c:lvl>
                  <c:pt idx="6">
                    <c:v>6%</c:v>
                  </c:pt>
                  <c:pt idx="7">
                    <c:v>5%</c:v>
                  </c:pt>
                  <c:pt idx="8">
                    <c:v>4%</c:v>
                  </c:pt>
                  <c:pt idx="9">
                    <c:v>4%</c:v>
                  </c:pt>
                  <c:pt idx="10">
                    <c:v>5%</c:v>
                  </c:pt>
                  <c:pt idx="11">
                    <c:v>5%</c:v>
                  </c:pt>
                </c:lvl>
                <c:lvl>
                  <c:pt idx="6">
                    <c:v>5%</c:v>
                  </c:pt>
                  <c:pt idx="7">
                    <c:v>5%</c:v>
                  </c:pt>
                  <c:pt idx="8">
                    <c:v>4%</c:v>
                  </c:pt>
                  <c:pt idx="9">
                    <c:v>5%</c:v>
                  </c:pt>
                  <c:pt idx="10">
                    <c:v>5%</c:v>
                  </c:pt>
                  <c:pt idx="11">
                    <c:v>5%</c:v>
                  </c:pt>
                </c:lvl>
                <c:lvl>
                  <c:pt idx="6">
                    <c:v>12%</c:v>
                  </c:pt>
                  <c:pt idx="7">
                    <c:v>11%</c:v>
                  </c:pt>
                  <c:pt idx="8">
                    <c:v>10%</c:v>
                  </c:pt>
                  <c:pt idx="9">
                    <c:v>11%</c:v>
                  </c:pt>
                  <c:pt idx="10">
                    <c:v>11%</c:v>
                  </c:pt>
                  <c:pt idx="11">
                    <c:v>10%</c:v>
                  </c:pt>
                </c:lvl>
              </c:multiLvlStrCache>
            </c:multiLvlStrRef>
          </c:cat>
          <c:val>
            <c:numRef>
              <c:f>'Gto Cte'!$H$19:$H$24</c:f>
              <c:numCache>
                <c:formatCode>0%</c:formatCode>
                <c:ptCount val="6"/>
                <c:pt idx="0">
                  <c:v>5.0811908780595286E-2</c:v>
                </c:pt>
                <c:pt idx="1">
                  <c:v>4.5983319985373486E-2</c:v>
                </c:pt>
                <c:pt idx="2">
                  <c:v>4.4129122867790541E-2</c:v>
                </c:pt>
                <c:pt idx="3">
                  <c:v>4.6741543308100035E-2</c:v>
                </c:pt>
                <c:pt idx="4">
                  <c:v>5.2775637884811599E-2</c:v>
                </c:pt>
                <c:pt idx="5">
                  <c:v>5.3181708347283474E-2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35D-43FB-8C24-6C241A6895AA}"/>
            </c:ext>
          </c:extLst>
        </c:ser>
        <c:ser>
          <c:idx val="2"/>
          <c:order val="2"/>
          <c:tx>
            <c:strRef>
              <c:f>'Gto Cte'!$I$5</c:f>
              <c:strCache>
                <c:ptCount val="1"/>
                <c:pt idx="0">
                  <c:v>Trans. Cts.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Museo Sans 300" panose="02000000000000000000" pitchFamily="50" charset="0"/>
                    <a:ea typeface="+mn-ea"/>
                    <a:cs typeface="+mn-cs"/>
                  </a:defRPr>
                </a:pPr>
                <a:endParaRPr lang="es-SV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'Gto Cte'!$A$19:$K$24</c:f>
              <c:multiLvlStrCache>
                <c:ptCount val="12"/>
                <c:lvl>
                  <c:pt idx="0">
                    <c:v>2020</c:v>
                  </c:pt>
                  <c:pt idx="1">
                    <c:v>2021</c:v>
                  </c:pt>
                  <c:pt idx="2">
                    <c:v>2022</c:v>
                  </c:pt>
                  <c:pt idx="3">
                    <c:v>2023</c:v>
                  </c:pt>
                  <c:pt idx="4">
                    <c:v>2024</c:v>
                  </c:pt>
                  <c:pt idx="5">
                    <c:v>2025</c:v>
                  </c:pt>
                  <c:pt idx="6">
                    <c:v>27%</c:v>
                  </c:pt>
                  <c:pt idx="7">
                    <c:v>25%</c:v>
                  </c:pt>
                  <c:pt idx="8">
                    <c:v>24%</c:v>
                  </c:pt>
                  <c:pt idx="9">
                    <c:v>23%</c:v>
                  </c:pt>
                  <c:pt idx="10">
                    <c:v>26%</c:v>
                  </c:pt>
                  <c:pt idx="11">
                    <c:v>25%</c:v>
                  </c:pt>
                </c:lvl>
                <c:lvl>
                  <c:pt idx="6">
                    <c:v>4%</c:v>
                  </c:pt>
                  <c:pt idx="7">
                    <c:v>4%</c:v>
                  </c:pt>
                  <c:pt idx="8">
                    <c:v>5%</c:v>
                  </c:pt>
                  <c:pt idx="9">
                    <c:v>4%</c:v>
                  </c:pt>
                  <c:pt idx="10">
                    <c:v>5%</c:v>
                  </c:pt>
                  <c:pt idx="11">
                    <c:v>5%</c:v>
                  </c:pt>
                </c:lvl>
                <c:lvl>
                  <c:pt idx="6">
                    <c:v>6%</c:v>
                  </c:pt>
                  <c:pt idx="7">
                    <c:v>5%</c:v>
                  </c:pt>
                  <c:pt idx="8">
                    <c:v>4%</c:v>
                  </c:pt>
                  <c:pt idx="9">
                    <c:v>4%</c:v>
                  </c:pt>
                  <c:pt idx="10">
                    <c:v>5%</c:v>
                  </c:pt>
                  <c:pt idx="11">
                    <c:v>5%</c:v>
                  </c:pt>
                </c:lvl>
                <c:lvl>
                  <c:pt idx="6">
                    <c:v>5%</c:v>
                  </c:pt>
                  <c:pt idx="7">
                    <c:v>5%</c:v>
                  </c:pt>
                  <c:pt idx="8">
                    <c:v>4%</c:v>
                  </c:pt>
                  <c:pt idx="9">
                    <c:v>5%</c:v>
                  </c:pt>
                  <c:pt idx="10">
                    <c:v>5%</c:v>
                  </c:pt>
                  <c:pt idx="11">
                    <c:v>5%</c:v>
                  </c:pt>
                </c:lvl>
                <c:lvl>
                  <c:pt idx="6">
                    <c:v>12%</c:v>
                  </c:pt>
                  <c:pt idx="7">
                    <c:v>11%</c:v>
                  </c:pt>
                  <c:pt idx="8">
                    <c:v>10%</c:v>
                  </c:pt>
                  <c:pt idx="9">
                    <c:v>11%</c:v>
                  </c:pt>
                  <c:pt idx="10">
                    <c:v>11%</c:v>
                  </c:pt>
                  <c:pt idx="11">
                    <c:v>10%</c:v>
                  </c:pt>
                </c:lvl>
              </c:multiLvlStrCache>
            </c:multiLvlStrRef>
          </c:cat>
          <c:val>
            <c:numRef>
              <c:f>'Gto Cte'!$I$19:$I$24</c:f>
              <c:numCache>
                <c:formatCode>0%</c:formatCode>
                <c:ptCount val="6"/>
                <c:pt idx="0">
                  <c:v>6.0455358379756338E-2</c:v>
                </c:pt>
                <c:pt idx="1">
                  <c:v>5.1680362385058916E-2</c:v>
                </c:pt>
                <c:pt idx="2">
                  <c:v>4.2695177393488756E-2</c:v>
                </c:pt>
                <c:pt idx="3">
                  <c:v>3.5468039587158572E-2</c:v>
                </c:pt>
                <c:pt idx="4">
                  <c:v>5.2511874375174343E-2</c:v>
                </c:pt>
                <c:pt idx="5">
                  <c:v>4.6706300051950374E-2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35D-43FB-8C24-6C241A6895AA}"/>
            </c:ext>
          </c:extLst>
        </c:ser>
        <c:ser>
          <c:idx val="3"/>
          <c:order val="3"/>
          <c:tx>
            <c:strRef>
              <c:f>'Gto Cte'!$J$5</c:f>
              <c:strCache>
                <c:ptCount val="1"/>
                <c:pt idx="0">
                  <c:v>Intereses</c:v>
                </c:pt>
              </c:strCache>
            </c:strRef>
          </c:tx>
          <c:spPr>
            <a:solidFill>
              <a:schemeClr val="accent1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Museo Sans 300" panose="02000000000000000000" pitchFamily="50" charset="0"/>
                    <a:ea typeface="+mn-ea"/>
                    <a:cs typeface="+mn-cs"/>
                  </a:defRPr>
                </a:pPr>
                <a:endParaRPr lang="es-SV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'Gto Cte'!$A$19:$K$24</c:f>
              <c:multiLvlStrCache>
                <c:ptCount val="12"/>
                <c:lvl>
                  <c:pt idx="0">
                    <c:v>2020</c:v>
                  </c:pt>
                  <c:pt idx="1">
                    <c:v>2021</c:v>
                  </c:pt>
                  <c:pt idx="2">
                    <c:v>2022</c:v>
                  </c:pt>
                  <c:pt idx="3">
                    <c:v>2023</c:v>
                  </c:pt>
                  <c:pt idx="4">
                    <c:v>2024</c:v>
                  </c:pt>
                  <c:pt idx="5">
                    <c:v>2025</c:v>
                  </c:pt>
                  <c:pt idx="6">
                    <c:v>27%</c:v>
                  </c:pt>
                  <c:pt idx="7">
                    <c:v>25%</c:v>
                  </c:pt>
                  <c:pt idx="8">
                    <c:v>24%</c:v>
                  </c:pt>
                  <c:pt idx="9">
                    <c:v>23%</c:v>
                  </c:pt>
                  <c:pt idx="10">
                    <c:v>26%</c:v>
                  </c:pt>
                  <c:pt idx="11">
                    <c:v>25%</c:v>
                  </c:pt>
                </c:lvl>
                <c:lvl>
                  <c:pt idx="6">
                    <c:v>4%</c:v>
                  </c:pt>
                  <c:pt idx="7">
                    <c:v>4%</c:v>
                  </c:pt>
                  <c:pt idx="8">
                    <c:v>5%</c:v>
                  </c:pt>
                  <c:pt idx="9">
                    <c:v>4%</c:v>
                  </c:pt>
                  <c:pt idx="10">
                    <c:v>5%</c:v>
                  </c:pt>
                  <c:pt idx="11">
                    <c:v>5%</c:v>
                  </c:pt>
                </c:lvl>
                <c:lvl>
                  <c:pt idx="6">
                    <c:v>6%</c:v>
                  </c:pt>
                  <c:pt idx="7">
                    <c:v>5%</c:v>
                  </c:pt>
                  <c:pt idx="8">
                    <c:v>4%</c:v>
                  </c:pt>
                  <c:pt idx="9">
                    <c:v>4%</c:v>
                  </c:pt>
                  <c:pt idx="10">
                    <c:v>5%</c:v>
                  </c:pt>
                  <c:pt idx="11">
                    <c:v>5%</c:v>
                  </c:pt>
                </c:lvl>
                <c:lvl>
                  <c:pt idx="6">
                    <c:v>5%</c:v>
                  </c:pt>
                  <c:pt idx="7">
                    <c:v>5%</c:v>
                  </c:pt>
                  <c:pt idx="8">
                    <c:v>4%</c:v>
                  </c:pt>
                  <c:pt idx="9">
                    <c:v>5%</c:v>
                  </c:pt>
                  <c:pt idx="10">
                    <c:v>5%</c:v>
                  </c:pt>
                  <c:pt idx="11">
                    <c:v>5%</c:v>
                  </c:pt>
                </c:lvl>
                <c:lvl>
                  <c:pt idx="6">
                    <c:v>12%</c:v>
                  </c:pt>
                  <c:pt idx="7">
                    <c:v>11%</c:v>
                  </c:pt>
                  <c:pt idx="8">
                    <c:v>10%</c:v>
                  </c:pt>
                  <c:pt idx="9">
                    <c:v>11%</c:v>
                  </c:pt>
                  <c:pt idx="10">
                    <c:v>11%</c:v>
                  </c:pt>
                  <c:pt idx="11">
                    <c:v>10%</c:v>
                  </c:pt>
                </c:lvl>
              </c:multiLvlStrCache>
            </c:multiLvlStrRef>
          </c:cat>
          <c:val>
            <c:numRef>
              <c:f>'Gto Cte'!$J$19:$J$24</c:f>
              <c:numCache>
                <c:formatCode>0%</c:formatCode>
                <c:ptCount val="6"/>
                <c:pt idx="0">
                  <c:v>4.3391164510734492E-2</c:v>
                </c:pt>
                <c:pt idx="1">
                  <c:v>4.4887019791937099E-2</c:v>
                </c:pt>
                <c:pt idx="2">
                  <c:v>4.6799336431534125E-2</c:v>
                </c:pt>
                <c:pt idx="3">
                  <c:v>3.9638997623447698E-2</c:v>
                </c:pt>
                <c:pt idx="4">
                  <c:v>4.6465382616207175E-2</c:v>
                </c:pt>
                <c:pt idx="5">
                  <c:v>4.7834116221183824E-2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35D-43FB-8C24-6C241A6895AA}"/>
            </c:ext>
          </c:extLst>
        </c:ser>
        <c:ser>
          <c:idx val="4"/>
          <c:order val="4"/>
          <c:tx>
            <c:strRef>
              <c:f>'Gto Cte'!$K$5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bg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C35D-43FB-8C24-6C241A6895AA}"/>
              </c:ext>
            </c:extLst>
          </c:dPt>
          <c:dPt>
            <c:idx val="1"/>
            <c:invertIfNegative val="0"/>
            <c:bubble3D val="0"/>
            <c:spPr>
              <a:solidFill>
                <a:schemeClr val="bg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C35D-43FB-8C24-6C241A6895AA}"/>
              </c:ext>
            </c:extLst>
          </c:dPt>
          <c:dPt>
            <c:idx val="2"/>
            <c:invertIfNegative val="0"/>
            <c:bubble3D val="0"/>
            <c:spPr>
              <a:solidFill>
                <a:schemeClr val="bg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C35D-43FB-8C24-6C241A6895AA}"/>
              </c:ext>
            </c:extLst>
          </c:dPt>
          <c:dPt>
            <c:idx val="3"/>
            <c:invertIfNegative val="0"/>
            <c:bubble3D val="0"/>
            <c:spPr>
              <a:solidFill>
                <a:schemeClr val="bg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C35D-43FB-8C24-6C241A6895AA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C35D-43FB-8C24-6C241A6895AA}"/>
              </c:ext>
            </c:extLst>
          </c:dPt>
          <c:dPt>
            <c:idx val="5"/>
            <c:invertIfNegative val="0"/>
            <c:bubble3D val="0"/>
            <c:spPr>
              <a:solidFill>
                <a:schemeClr val="bg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C35D-43FB-8C24-6C241A6895A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Museo Sans 300" panose="02000000000000000000" pitchFamily="50" charset="0"/>
                    <a:ea typeface="+mn-ea"/>
                    <a:cs typeface="+mn-cs"/>
                  </a:defRPr>
                </a:pPr>
                <a:endParaRPr lang="es-SV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'Gto Cte'!$A$19:$K$24</c:f>
              <c:multiLvlStrCache>
                <c:ptCount val="12"/>
                <c:lvl>
                  <c:pt idx="0">
                    <c:v>2020</c:v>
                  </c:pt>
                  <c:pt idx="1">
                    <c:v>2021</c:v>
                  </c:pt>
                  <c:pt idx="2">
                    <c:v>2022</c:v>
                  </c:pt>
                  <c:pt idx="3">
                    <c:v>2023</c:v>
                  </c:pt>
                  <c:pt idx="4">
                    <c:v>2024</c:v>
                  </c:pt>
                  <c:pt idx="5">
                    <c:v>2025</c:v>
                  </c:pt>
                  <c:pt idx="6">
                    <c:v>27%</c:v>
                  </c:pt>
                  <c:pt idx="7">
                    <c:v>25%</c:v>
                  </c:pt>
                  <c:pt idx="8">
                    <c:v>24%</c:v>
                  </c:pt>
                  <c:pt idx="9">
                    <c:v>23%</c:v>
                  </c:pt>
                  <c:pt idx="10">
                    <c:v>26%</c:v>
                  </c:pt>
                  <c:pt idx="11">
                    <c:v>25%</c:v>
                  </c:pt>
                </c:lvl>
                <c:lvl>
                  <c:pt idx="6">
                    <c:v>4%</c:v>
                  </c:pt>
                  <c:pt idx="7">
                    <c:v>4%</c:v>
                  </c:pt>
                  <c:pt idx="8">
                    <c:v>5%</c:v>
                  </c:pt>
                  <c:pt idx="9">
                    <c:v>4%</c:v>
                  </c:pt>
                  <c:pt idx="10">
                    <c:v>5%</c:v>
                  </c:pt>
                  <c:pt idx="11">
                    <c:v>5%</c:v>
                  </c:pt>
                </c:lvl>
                <c:lvl>
                  <c:pt idx="6">
                    <c:v>6%</c:v>
                  </c:pt>
                  <c:pt idx="7">
                    <c:v>5%</c:v>
                  </c:pt>
                  <c:pt idx="8">
                    <c:v>4%</c:v>
                  </c:pt>
                  <c:pt idx="9">
                    <c:v>4%</c:v>
                  </c:pt>
                  <c:pt idx="10">
                    <c:v>5%</c:v>
                  </c:pt>
                  <c:pt idx="11">
                    <c:v>5%</c:v>
                  </c:pt>
                </c:lvl>
                <c:lvl>
                  <c:pt idx="6">
                    <c:v>5%</c:v>
                  </c:pt>
                  <c:pt idx="7">
                    <c:v>5%</c:v>
                  </c:pt>
                  <c:pt idx="8">
                    <c:v>4%</c:v>
                  </c:pt>
                  <c:pt idx="9">
                    <c:v>5%</c:v>
                  </c:pt>
                  <c:pt idx="10">
                    <c:v>5%</c:v>
                  </c:pt>
                  <c:pt idx="11">
                    <c:v>5%</c:v>
                  </c:pt>
                </c:lvl>
                <c:lvl>
                  <c:pt idx="6">
                    <c:v>12%</c:v>
                  </c:pt>
                  <c:pt idx="7">
                    <c:v>11%</c:v>
                  </c:pt>
                  <c:pt idx="8">
                    <c:v>10%</c:v>
                  </c:pt>
                  <c:pt idx="9">
                    <c:v>11%</c:v>
                  </c:pt>
                  <c:pt idx="10">
                    <c:v>11%</c:v>
                  </c:pt>
                  <c:pt idx="11">
                    <c:v>10%</c:v>
                  </c:pt>
                </c:lvl>
              </c:multiLvlStrCache>
            </c:multiLvlStrRef>
          </c:cat>
          <c:val>
            <c:numRef>
              <c:f>'Gto Cte'!$K$19:$K$24</c:f>
              <c:numCache>
                <c:formatCode>0%</c:formatCode>
                <c:ptCount val="6"/>
                <c:pt idx="0">
                  <c:v>0.27236664929369964</c:v>
                </c:pt>
                <c:pt idx="1">
                  <c:v>0.25441877152401565</c:v>
                </c:pt>
                <c:pt idx="2">
                  <c:v>0.23822635064642073</c:v>
                </c:pt>
                <c:pt idx="3">
                  <c:v>0.22913455897928314</c:v>
                </c:pt>
                <c:pt idx="4">
                  <c:v>0.26439711545932265</c:v>
                </c:pt>
                <c:pt idx="5">
                  <c:v>0.24925554598152835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C35D-43FB-8C24-6C241A6895A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overlap val="100"/>
        <c:axId val="610886672"/>
        <c:axId val="802627824"/>
      </c:barChart>
      <c:catAx>
        <c:axId val="6108866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Museo Sans 300" panose="02000000000000000000" pitchFamily="50" charset="0"/>
                <a:ea typeface="+mn-ea"/>
                <a:cs typeface="+mn-cs"/>
              </a:defRPr>
            </a:pPr>
            <a:endParaRPr lang="es-SV"/>
          </a:p>
        </c:txPr>
        <c:crossAx val="802627824"/>
        <c:crosses val="autoZero"/>
        <c:auto val="1"/>
        <c:lblAlgn val="ctr"/>
        <c:lblOffset val="100"/>
        <c:noMultiLvlLbl val="0"/>
      </c:catAx>
      <c:valAx>
        <c:axId val="802627824"/>
        <c:scaling>
          <c:orientation val="minMax"/>
          <c:max val="0.30000000000000004"/>
        </c:scaling>
        <c:delete val="1"/>
        <c:axPos val="l"/>
        <c:numFmt formatCode="0%" sourceLinked="1"/>
        <c:majorTickMark val="none"/>
        <c:minorTickMark val="none"/>
        <c:tickLblPos val="nextTo"/>
        <c:crossAx val="6108866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Museo Sans 300" panose="02000000000000000000" pitchFamily="50" charset="0"/>
              <a:ea typeface="+mn-ea"/>
              <a:cs typeface="+mn-cs"/>
            </a:defRPr>
          </a:pPr>
          <a:endParaRPr lang="es-SV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latin typeface="Museo Sans 300" panose="02000000000000000000" pitchFamily="50" charset="0"/>
        </a:defRPr>
      </a:pPr>
      <a:endParaRPr lang="es-SV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'Datos graf'!$C$74</c:f>
              <c:strCache>
                <c:ptCount val="1"/>
                <c:pt idx="0">
                  <c:v>Inversión</c:v>
                </c:pt>
              </c:strCache>
            </c:strRef>
          </c:tx>
          <c:spPr>
            <a:solidFill>
              <a:srgbClr val="002060"/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Museo Sans 300" panose="02000000000000000000" pitchFamily="50" charset="0"/>
                    <a:ea typeface="+mn-ea"/>
                    <a:cs typeface="+mn-cs"/>
                  </a:defRPr>
                </a:pPr>
                <a:endParaRPr lang="es-SV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'Datos graf'!$B$76:$B$92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'Datos graf'!$C$76:$C$92</c:f>
              <c:numCache>
                <c:formatCode>General</c:formatCode>
                <c:ptCount val="6"/>
                <c:pt idx="0" formatCode="#,##0.0">
                  <c:v>636.79999999999995</c:v>
                </c:pt>
                <c:pt idx="1">
                  <c:v>914.6</c:v>
                </c:pt>
                <c:pt idx="2">
                  <c:v>691.2</c:v>
                </c:pt>
                <c:pt idx="3" formatCode="#,##0.0">
                  <c:v>1326</c:v>
                </c:pt>
                <c:pt idx="4" formatCode="#,##0.0">
                  <c:v>1300</c:v>
                </c:pt>
                <c:pt idx="5" formatCode="#,##0.0">
                  <c:v>1569.7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877-4B4D-A6B4-82ADA319EC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3"/>
        <c:axId val="510400616"/>
        <c:axId val="510401792"/>
      </c:barChart>
      <c:lineChart>
        <c:grouping val="standard"/>
        <c:varyColors val="0"/>
        <c:ser>
          <c:idx val="1"/>
          <c:order val="1"/>
          <c:tx>
            <c:strRef>
              <c:f>'Datos graf'!$D$74</c:f>
              <c:strCache>
                <c:ptCount val="1"/>
                <c:pt idx="0">
                  <c:v>% del PIB</c:v>
                </c:pt>
              </c:strCache>
            </c:strRef>
          </c:tx>
          <c:spPr>
            <a:ln w="31750" cap="rnd">
              <a:solidFill>
                <a:schemeClr val="tx2">
                  <a:lumMod val="40000"/>
                  <a:lumOff val="60000"/>
                </a:schemeClr>
              </a:solidFill>
              <a:round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marker>
            <c:symbol val="circle"/>
            <c:size val="6"/>
            <c:spPr>
              <a:solidFill>
                <a:schemeClr val="tx2">
                  <a:lumMod val="60000"/>
                  <a:lumOff val="40000"/>
                </a:schemeClr>
              </a:solidFill>
              <a:ln w="12700">
                <a:solidFill>
                  <a:schemeClr val="tx2">
                    <a:lumMod val="40000"/>
                    <a:lumOff val="60000"/>
                  </a:schemeClr>
                </a:solidFill>
                <a:round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</c:marker>
          <c:dPt>
            <c:idx val="1"/>
            <c:marker>
              <c:symbol val="circle"/>
              <c:size val="6"/>
              <c:spPr>
                <a:solidFill>
                  <a:schemeClr val="tx2">
                    <a:lumMod val="60000"/>
                    <a:lumOff val="40000"/>
                  </a:schemeClr>
                </a:solidFill>
                <a:ln w="12700">
                  <a:solidFill>
                    <a:schemeClr val="tx2">
                      <a:lumMod val="40000"/>
                      <a:lumOff val="60000"/>
                    </a:schemeClr>
                  </a:solidFill>
                  <a:round/>
                </a:ln>
                <a:effectLst>
                  <a:outerShdw blurRad="40000" dist="23000" dir="5400000" rotWithShape="0">
                    <a:srgbClr val="000000">
                      <a:alpha val="35000"/>
                    </a:srgbClr>
                  </a:outerShdw>
                </a:effectLst>
              </c:spPr>
            </c:marker>
            <c:bubble3D val="0"/>
            <c:spPr>
              <a:ln w="31750" cap="rnd">
                <a:solidFill>
                  <a:schemeClr val="tx2">
                    <a:lumMod val="40000"/>
                    <a:lumOff val="60000"/>
                  </a:schemeClr>
                </a:solidFill>
                <a:round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2-E877-4B4D-A6B4-82ADA319ECFF}"/>
              </c:ext>
            </c:extLst>
          </c:dPt>
          <c:dPt>
            <c:idx val="2"/>
            <c:marker>
              <c:symbol val="circle"/>
              <c:size val="6"/>
              <c:spPr>
                <a:solidFill>
                  <a:schemeClr val="tx2">
                    <a:lumMod val="60000"/>
                    <a:lumOff val="40000"/>
                  </a:schemeClr>
                </a:solidFill>
                <a:ln w="12700">
                  <a:solidFill>
                    <a:schemeClr val="tx2">
                      <a:lumMod val="40000"/>
                      <a:lumOff val="60000"/>
                    </a:schemeClr>
                  </a:solidFill>
                  <a:round/>
                </a:ln>
                <a:effectLst>
                  <a:outerShdw blurRad="40000" dist="23000" dir="5400000" rotWithShape="0">
                    <a:srgbClr val="000000">
                      <a:alpha val="35000"/>
                    </a:srgbClr>
                  </a:outerShdw>
                </a:effectLst>
              </c:spPr>
            </c:marker>
            <c:bubble3D val="0"/>
            <c:spPr>
              <a:ln w="31750" cap="rnd">
                <a:solidFill>
                  <a:schemeClr val="tx2">
                    <a:lumMod val="40000"/>
                    <a:lumOff val="60000"/>
                  </a:schemeClr>
                </a:solidFill>
                <a:round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4-E877-4B4D-A6B4-82ADA319ECFF}"/>
              </c:ext>
            </c:extLst>
          </c:dPt>
          <c:dPt>
            <c:idx val="3"/>
            <c:marker>
              <c:symbol val="circle"/>
              <c:size val="6"/>
              <c:spPr>
                <a:solidFill>
                  <a:schemeClr val="tx2">
                    <a:lumMod val="60000"/>
                    <a:lumOff val="40000"/>
                  </a:schemeClr>
                </a:solidFill>
                <a:ln w="12700">
                  <a:solidFill>
                    <a:schemeClr val="tx2">
                      <a:lumMod val="40000"/>
                      <a:lumOff val="60000"/>
                    </a:schemeClr>
                  </a:solidFill>
                  <a:round/>
                </a:ln>
                <a:effectLst>
                  <a:outerShdw blurRad="40000" dist="23000" dir="5400000" rotWithShape="0">
                    <a:srgbClr val="000000">
                      <a:alpha val="35000"/>
                    </a:srgbClr>
                  </a:outerShdw>
                </a:effectLst>
              </c:spPr>
            </c:marker>
            <c:bubble3D val="0"/>
            <c:spPr>
              <a:ln w="31750" cap="rnd">
                <a:solidFill>
                  <a:schemeClr val="tx2">
                    <a:lumMod val="40000"/>
                    <a:lumOff val="60000"/>
                  </a:schemeClr>
                </a:solidFill>
                <a:round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6-E877-4B4D-A6B4-82ADA319ECFF}"/>
              </c:ext>
            </c:extLst>
          </c:dPt>
          <c:dPt>
            <c:idx val="4"/>
            <c:marker>
              <c:symbol val="circle"/>
              <c:size val="6"/>
              <c:spPr>
                <a:solidFill>
                  <a:schemeClr val="tx2">
                    <a:lumMod val="60000"/>
                    <a:lumOff val="40000"/>
                  </a:schemeClr>
                </a:solidFill>
                <a:ln w="12700">
                  <a:solidFill>
                    <a:schemeClr val="tx2">
                      <a:lumMod val="40000"/>
                      <a:lumOff val="60000"/>
                    </a:schemeClr>
                  </a:solidFill>
                  <a:round/>
                </a:ln>
                <a:effectLst>
                  <a:outerShdw blurRad="40000" dist="23000" dir="5400000" rotWithShape="0">
                    <a:srgbClr val="000000">
                      <a:alpha val="35000"/>
                    </a:srgbClr>
                  </a:outerShdw>
                </a:effectLst>
              </c:spPr>
            </c:marker>
            <c:bubble3D val="0"/>
            <c:spPr>
              <a:ln w="31750" cap="rnd">
                <a:solidFill>
                  <a:schemeClr val="tx2">
                    <a:lumMod val="40000"/>
                    <a:lumOff val="60000"/>
                  </a:schemeClr>
                </a:solidFill>
                <a:round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8-E877-4B4D-A6B4-82ADA319ECFF}"/>
              </c:ext>
            </c:extLst>
          </c:dPt>
          <c:dPt>
            <c:idx val="5"/>
            <c:marker>
              <c:symbol val="circle"/>
              <c:size val="6"/>
              <c:spPr>
                <a:solidFill>
                  <a:schemeClr val="tx2">
                    <a:lumMod val="60000"/>
                    <a:lumOff val="40000"/>
                  </a:schemeClr>
                </a:solidFill>
                <a:ln w="12700">
                  <a:solidFill>
                    <a:schemeClr val="tx2">
                      <a:lumMod val="40000"/>
                      <a:lumOff val="60000"/>
                    </a:schemeClr>
                  </a:solidFill>
                  <a:round/>
                </a:ln>
                <a:effectLst>
                  <a:outerShdw blurRad="40000" dist="23000" dir="5400000" rotWithShape="0">
                    <a:srgbClr val="000000">
                      <a:alpha val="35000"/>
                    </a:srgbClr>
                  </a:outerShdw>
                </a:effectLst>
              </c:spPr>
            </c:marker>
            <c:bubble3D val="0"/>
            <c:spPr>
              <a:ln w="31750" cap="rnd">
                <a:solidFill>
                  <a:schemeClr val="tx2">
                    <a:lumMod val="40000"/>
                    <a:lumOff val="60000"/>
                  </a:schemeClr>
                </a:solidFill>
                <a:round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A-E877-4B4D-A6B4-82ADA319ECFF}"/>
              </c:ext>
            </c:extLst>
          </c:dPt>
          <c:dPt>
            <c:idx val="6"/>
            <c:marker>
              <c:symbol val="circle"/>
              <c:size val="6"/>
              <c:spPr>
                <a:solidFill>
                  <a:schemeClr val="tx2">
                    <a:lumMod val="60000"/>
                    <a:lumOff val="40000"/>
                  </a:schemeClr>
                </a:solidFill>
                <a:ln w="12700">
                  <a:solidFill>
                    <a:schemeClr val="tx2">
                      <a:lumMod val="40000"/>
                      <a:lumOff val="60000"/>
                    </a:schemeClr>
                  </a:solidFill>
                  <a:round/>
                </a:ln>
                <a:effectLst>
                  <a:outerShdw blurRad="40000" dist="23000" dir="5400000" rotWithShape="0">
                    <a:srgbClr val="000000">
                      <a:alpha val="35000"/>
                    </a:srgbClr>
                  </a:outerShdw>
                </a:effectLst>
              </c:spPr>
            </c:marker>
            <c:bubble3D val="0"/>
            <c:spPr>
              <a:ln w="31750" cap="rnd">
                <a:solidFill>
                  <a:schemeClr val="tx2">
                    <a:lumMod val="40000"/>
                    <a:lumOff val="60000"/>
                  </a:schemeClr>
                </a:solidFill>
                <a:round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C-E877-4B4D-A6B4-82ADA319ECFF}"/>
              </c:ext>
            </c:extLst>
          </c:dPt>
          <c:dPt>
            <c:idx val="7"/>
            <c:marker>
              <c:symbol val="circle"/>
              <c:size val="6"/>
              <c:spPr>
                <a:solidFill>
                  <a:schemeClr val="tx2">
                    <a:lumMod val="60000"/>
                    <a:lumOff val="40000"/>
                  </a:schemeClr>
                </a:solidFill>
                <a:ln w="12700">
                  <a:solidFill>
                    <a:schemeClr val="tx2">
                      <a:lumMod val="40000"/>
                      <a:lumOff val="60000"/>
                    </a:schemeClr>
                  </a:solidFill>
                  <a:round/>
                </a:ln>
                <a:effectLst>
                  <a:outerShdw blurRad="40000" dist="23000" dir="5400000" rotWithShape="0">
                    <a:srgbClr val="000000">
                      <a:alpha val="35000"/>
                    </a:srgbClr>
                  </a:outerShdw>
                </a:effectLst>
              </c:spPr>
            </c:marker>
            <c:bubble3D val="0"/>
            <c:spPr>
              <a:ln w="31750" cap="rnd">
                <a:solidFill>
                  <a:schemeClr val="tx2">
                    <a:lumMod val="40000"/>
                    <a:lumOff val="60000"/>
                  </a:schemeClr>
                </a:solidFill>
                <a:round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E-E877-4B4D-A6B4-82ADA319ECFF}"/>
              </c:ext>
            </c:extLst>
          </c:dPt>
          <c:dPt>
            <c:idx val="8"/>
            <c:marker>
              <c:symbol val="circle"/>
              <c:size val="6"/>
              <c:spPr>
                <a:solidFill>
                  <a:schemeClr val="tx2">
                    <a:lumMod val="60000"/>
                    <a:lumOff val="40000"/>
                  </a:schemeClr>
                </a:solidFill>
                <a:ln w="12700">
                  <a:solidFill>
                    <a:schemeClr val="tx2">
                      <a:lumMod val="40000"/>
                      <a:lumOff val="60000"/>
                    </a:schemeClr>
                  </a:solidFill>
                  <a:round/>
                </a:ln>
                <a:effectLst>
                  <a:outerShdw blurRad="40000" dist="23000" dir="5400000" rotWithShape="0">
                    <a:srgbClr val="000000">
                      <a:alpha val="35000"/>
                    </a:srgbClr>
                  </a:outerShdw>
                </a:effectLst>
              </c:spPr>
            </c:marker>
            <c:bubble3D val="0"/>
            <c:spPr>
              <a:ln w="31750" cap="rnd">
                <a:solidFill>
                  <a:schemeClr val="tx2">
                    <a:lumMod val="40000"/>
                    <a:lumOff val="60000"/>
                  </a:schemeClr>
                </a:solidFill>
                <a:round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0-E877-4B4D-A6B4-82ADA319ECF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Museo Sans 300" panose="02000000000000000000" pitchFamily="50" charset="0"/>
                    <a:ea typeface="+mn-ea"/>
                    <a:cs typeface="+mn-cs"/>
                  </a:defRPr>
                </a:pPr>
                <a:endParaRPr lang="es-SV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'Datos graf'!$B$76:$B$92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'Datos graf'!$D$76:$D$92</c:f>
              <c:numCache>
                <c:formatCode>0.0%</c:formatCode>
                <c:ptCount val="6"/>
                <c:pt idx="0">
                  <c:v>2.5552551864497643E-2</c:v>
                </c:pt>
                <c:pt idx="1">
                  <c:v>3.1491085330305195E-2</c:v>
                </c:pt>
                <c:pt idx="2">
                  <c:v>2.1688034422897969E-2</c:v>
                </c:pt>
                <c:pt idx="3">
                  <c:v>3.9504933527485131E-2</c:v>
                </c:pt>
                <c:pt idx="4">
                  <c:v>3.7270928574752345E-2</c:v>
                </c:pt>
                <c:pt idx="5">
                  <c:v>4.2761669437907261E-2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1-E877-4B4D-A6B4-82ADA319EC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10403752"/>
        <c:axId val="510402576"/>
      </c:lineChart>
      <c:catAx>
        <c:axId val="5104006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Museo Sans 300" panose="02000000000000000000" pitchFamily="50" charset="0"/>
                <a:ea typeface="+mn-ea"/>
                <a:cs typeface="+mn-cs"/>
              </a:defRPr>
            </a:pPr>
            <a:endParaRPr lang="es-SV"/>
          </a:p>
        </c:txPr>
        <c:crossAx val="510401792"/>
        <c:crosses val="autoZero"/>
        <c:auto val="1"/>
        <c:lblAlgn val="ctr"/>
        <c:lblOffset val="100"/>
        <c:noMultiLvlLbl val="0"/>
      </c:catAx>
      <c:valAx>
        <c:axId val="510401792"/>
        <c:scaling>
          <c:orientation val="minMax"/>
        </c:scaling>
        <c:delete val="0"/>
        <c:axPos val="l"/>
        <c:numFmt formatCode="#,##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Museo Sans 300" panose="02000000000000000000" pitchFamily="50" charset="0"/>
                <a:ea typeface="+mn-ea"/>
                <a:cs typeface="+mn-cs"/>
              </a:defRPr>
            </a:pPr>
            <a:endParaRPr lang="es-SV"/>
          </a:p>
        </c:txPr>
        <c:crossAx val="510400616"/>
        <c:crosses val="autoZero"/>
        <c:crossBetween val="between"/>
      </c:valAx>
      <c:catAx>
        <c:axId val="510403752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510402576"/>
        <c:crosses val="autoZero"/>
        <c:auto val="1"/>
        <c:lblAlgn val="ctr"/>
        <c:lblOffset val="100"/>
        <c:noMultiLvlLbl val="0"/>
      </c:catAx>
      <c:valAx>
        <c:axId val="510402576"/>
        <c:scaling>
          <c:orientation val="minMax"/>
        </c:scaling>
        <c:delete val="0"/>
        <c:axPos val="r"/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Museo Sans 300" panose="02000000000000000000" pitchFamily="50" charset="0"/>
                <a:ea typeface="+mn-ea"/>
                <a:cs typeface="+mn-cs"/>
              </a:defRPr>
            </a:pPr>
            <a:endParaRPr lang="es-SV"/>
          </a:p>
        </c:txPr>
        <c:crossAx val="510403752"/>
        <c:crosses val="max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Museo Sans 300" panose="02000000000000000000" pitchFamily="50" charset="0"/>
              <a:ea typeface="+mn-ea"/>
              <a:cs typeface="+mn-cs"/>
            </a:defRPr>
          </a:pPr>
          <a:endParaRPr lang="es-SV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Museo Sans 300" panose="02000000000000000000" pitchFamily="50" charset="0"/>
        </a:defRPr>
      </a:pPr>
      <a:endParaRPr lang="es-SV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3565259561172625E-2"/>
          <c:y val="4.0851412560771676E-2"/>
          <c:w val="0.85051545640128312"/>
          <c:h val="0.7681239342682643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'Datos graf'!$C$168</c:f>
              <c:strCache>
                <c:ptCount val="1"/>
              </c:strCache>
            </c:strRef>
          </c:tx>
          <c:spPr>
            <a:solidFill>
              <a:schemeClr val="accent1"/>
            </a:solidFill>
            <a:ln>
              <a:solidFill>
                <a:schemeClr val="accent5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solidFill>
                  <a:schemeClr val="accent5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708-4C03-9253-21E6AE1A05FA}"/>
              </c:ext>
            </c:extLst>
          </c:dPt>
          <c:cat>
            <c:numRef>
              <c:f>'Datos graf'!$B$169:$B$174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'Datos graf'!$C$169:$C$173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2-C708-4C03-9253-21E6AE1A05FA}"/>
            </c:ext>
          </c:extLst>
        </c:ser>
        <c:ser>
          <c:idx val="1"/>
          <c:order val="1"/>
          <c:tx>
            <c:strRef>
              <c:f>'Datos graf'!$E$168</c:f>
              <c:strCache>
                <c:ptCount val="1"/>
                <c:pt idx="0">
                  <c:v>Balance primario  c/pensiones % PIB</c:v>
                </c:pt>
              </c:strCache>
            </c:strRef>
          </c:tx>
          <c:spPr>
            <a:solidFill>
              <a:schemeClr val="tx2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cat>
            <c:numRef>
              <c:f>'Datos graf'!$B$169:$B$174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'Datos graf'!$E$169:$E$174</c:f>
              <c:numCache>
                <c:formatCode>#,##0.0</c:formatCode>
                <c:ptCount val="6"/>
                <c:pt idx="0">
                  <c:v>-1406.1132740427029</c:v>
                </c:pt>
                <c:pt idx="1">
                  <c:v>-301.97592787808389</c:v>
                </c:pt>
                <c:pt idx="2" formatCode="0.0">
                  <c:v>631.98653272663546</c:v>
                </c:pt>
                <c:pt idx="3" formatCode="0.0">
                  <c:v>-41.873694555625889</c:v>
                </c:pt>
                <c:pt idx="4" formatCode="0.0">
                  <c:v>11.863524669706067</c:v>
                </c:pt>
                <c:pt idx="5" formatCode="0.0">
                  <c:v>705.61777581047386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708-4C03-9253-21E6AE1A05F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5"/>
        <c:axId val="510408064"/>
        <c:axId val="510408848"/>
      </c:barChart>
      <c:lineChart>
        <c:grouping val="standard"/>
        <c:varyColors val="0"/>
        <c:ser>
          <c:idx val="2"/>
          <c:order val="2"/>
          <c:tx>
            <c:strRef>
              <c:f>'Datos graf'!$D$168</c:f>
              <c:strCache>
                <c:ptCount val="1"/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triangle"/>
            <c:size val="7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1.7691547371811247E-2"/>
                  <c:y val="-1.997895832641174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708-4C03-9253-21E6AE1A05FA}"/>
                </c:ext>
              </c:extLst>
            </c:dLbl>
            <c:dLbl>
              <c:idx val="3"/>
              <c:layout>
                <c:manualLayout>
                  <c:x val="-3.5939924176144646E-2"/>
                  <c:y val="-1.883493729950424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708-4C03-9253-21E6AE1A05FA}"/>
                </c:ext>
              </c:extLst>
            </c:dLbl>
            <c:dLbl>
              <c:idx val="5"/>
              <c:layout>
                <c:manualLayout>
                  <c:x val="-1.2049798429639172E-2"/>
                  <c:y val="-1.154013976101088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708-4C03-9253-21E6AE1A05FA}"/>
                </c:ext>
              </c:extLst>
            </c:dLbl>
            <c:dLbl>
              <c:idx val="6"/>
              <c:layout>
                <c:manualLayout>
                  <c:x val="-1.8402887139107746E-2"/>
                  <c:y val="2.128851949061911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708-4C03-9253-21E6AE1A05FA}"/>
                </c:ext>
              </c:extLst>
            </c:dLbl>
            <c:dLbl>
              <c:idx val="7"/>
              <c:layout>
                <c:manualLayout>
                  <c:x val="-2.1125109361329834E-2"/>
                  <c:y val="-2.500777680567706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708-4C03-9253-21E6AE1A05FA}"/>
                </c:ext>
              </c:extLst>
            </c:dLbl>
            <c:dLbl>
              <c:idx val="8"/>
              <c:layout>
                <c:manualLayout>
                  <c:x val="-2.6680664916885526E-2"/>
                  <c:y val="-2.500777680567706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708-4C03-9253-21E6AE1A05FA}"/>
                </c:ext>
              </c:extLst>
            </c:dLbl>
            <c:dLbl>
              <c:idx val="11"/>
              <c:layout>
                <c:manualLayout>
                  <c:x val="-2.0254738990959465E-2"/>
                  <c:y val="4.906629726839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C708-4C03-9253-21E6AE1A05FA}"/>
                </c:ext>
              </c:extLst>
            </c:dLbl>
            <c:spPr>
              <a:noFill/>
              <a:ln w="25400">
                <a:noFill/>
              </a:ln>
            </c:sp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'Datos graf'!$D$169:$D$173</c:f>
              <c:numCache>
                <c:formatCode>General</c:formatCode>
                <c:ptCount val="5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C708-4C03-9253-21E6AE1A05FA}"/>
            </c:ext>
          </c:extLst>
        </c:ser>
        <c:ser>
          <c:idx val="3"/>
          <c:order val="3"/>
          <c:tx>
            <c:strRef>
              <c:f>'Datos graf'!$F$168</c:f>
              <c:strCache>
                <c:ptCount val="1"/>
                <c:pt idx="0">
                  <c:v>Déficit  c/pensiones % PIB</c:v>
                </c:pt>
              </c:strCache>
            </c:strRef>
          </c:tx>
          <c:spPr>
            <a:ln w="28575" cap="rnd">
              <a:solidFill>
                <a:srgbClr val="00B0F0"/>
              </a:solidFill>
              <a:round/>
            </a:ln>
            <a:effectLst/>
          </c:spPr>
          <c:marker>
            <c:symbol val="x"/>
            <c:size val="7"/>
            <c:spPr>
              <a:solidFill>
                <a:schemeClr val="bg1"/>
              </a:solidFill>
              <a:ln w="9525">
                <a:solidFill>
                  <a:srgbClr val="00B0F0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0855628236879436E-2"/>
                  <c:y val="1.716601880461134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C708-4C03-9253-21E6AE1A05FA}"/>
                </c:ext>
              </c:extLst>
            </c:dLbl>
            <c:dLbl>
              <c:idx val="1"/>
              <c:layout>
                <c:manualLayout>
                  <c:x val="-3.6497377179051493E-2"/>
                  <c:y val="3.123071641361285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C708-4C03-9253-21E6AE1A05FA}"/>
                </c:ext>
              </c:extLst>
            </c:dLbl>
            <c:dLbl>
              <c:idx val="2"/>
              <c:layout>
                <c:manualLayout>
                  <c:x val="-5.3422624005567708E-2"/>
                  <c:y val="3.40436559354131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C708-4C03-9253-21E6AE1A05FA}"/>
                </c:ext>
              </c:extLst>
            </c:dLbl>
            <c:dLbl>
              <c:idx val="3"/>
              <c:layout>
                <c:manualLayout>
                  <c:x val="-4.3135835101007297E-2"/>
                  <c:y val="1.43530792828110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C708-4C03-9253-21E6AE1A05FA}"/>
                </c:ext>
              </c:extLst>
            </c:dLbl>
            <c:dLbl>
              <c:idx val="11"/>
              <c:layout>
                <c:manualLayout>
                  <c:x val="-3.8773257509477979E-2"/>
                  <c:y val="2.500777680567706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C708-4C03-9253-21E6AE1A05FA}"/>
                </c:ext>
              </c:extLst>
            </c:dLbl>
            <c:spPr>
              <a:solidFill>
                <a:srgbClr val="002060"/>
              </a:solidFill>
              <a:ln w="25400">
                <a:noFill/>
              </a:ln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es-SV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'Datos graf'!$F$169:$F$174</c:f>
              <c:numCache>
                <c:formatCode>0.0%</c:formatCode>
                <c:ptCount val="6"/>
                <c:pt idx="0">
                  <c:v>-5.6422396925776934E-2</c:v>
                </c:pt>
                <c:pt idx="1">
                  <c:v>-1.0397495858852862E-2</c:v>
                </c:pt>
                <c:pt idx="2">
                  <c:v>1.9830071870056719E-2</c:v>
                </c:pt>
                <c:pt idx="3">
                  <c:v>-1.2475245248644168E-3</c:v>
                </c:pt>
                <c:pt idx="4">
                  <c:v>3.4012660046879014E-4</c:v>
                </c:pt>
                <c:pt idx="5">
                  <c:v>1.9222395412320084E-2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1-C708-4C03-9253-21E6AE1A05F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10406888"/>
        <c:axId val="510409240"/>
      </c:lineChart>
      <c:catAx>
        <c:axId val="5104080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es-SV"/>
          </a:p>
        </c:txPr>
        <c:crossAx val="510408848"/>
        <c:crosses val="autoZero"/>
        <c:auto val="1"/>
        <c:lblAlgn val="ctr"/>
        <c:lblOffset val="100"/>
        <c:noMultiLvlLbl val="0"/>
      </c:catAx>
      <c:valAx>
        <c:axId val="510408848"/>
        <c:scaling>
          <c:orientation val="minMax"/>
          <c:max val="1000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0" vert="horz"/>
          <a:lstStyle/>
          <a:p>
            <a:pPr>
              <a:defRPr/>
            </a:pPr>
            <a:endParaRPr lang="es-SV"/>
          </a:p>
        </c:txPr>
        <c:crossAx val="510408064"/>
        <c:crosses val="autoZero"/>
        <c:crossBetween val="between"/>
      </c:valAx>
      <c:catAx>
        <c:axId val="51040688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510409240"/>
        <c:crosses val="autoZero"/>
        <c:auto val="1"/>
        <c:lblAlgn val="ctr"/>
        <c:lblOffset val="100"/>
        <c:noMultiLvlLbl val="0"/>
      </c:catAx>
      <c:valAx>
        <c:axId val="510409240"/>
        <c:scaling>
          <c:orientation val="minMax"/>
          <c:max val="3.2000000000000008E-2"/>
          <c:min val="-6.0000000000000012E-2"/>
        </c:scaling>
        <c:delete val="0"/>
        <c:axPos val="r"/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0" vert="horz"/>
          <a:lstStyle/>
          <a:p>
            <a:pPr>
              <a:defRPr/>
            </a:pPr>
            <a:endParaRPr lang="es-SV"/>
          </a:p>
        </c:txPr>
        <c:crossAx val="510406888"/>
        <c:crosses val="max"/>
        <c:crossBetween val="between"/>
        <c:majorUnit val="8.0000000000000019E-3"/>
        <c:minorUnit val="2.5000000000000005E-3"/>
      </c:valAx>
      <c:spPr>
        <a:noFill/>
        <a:ln w="25400">
          <a:noFill/>
        </a:ln>
      </c:spPr>
    </c:plotArea>
    <c:legend>
      <c:legendPos val="b"/>
      <c:legendEntry>
        <c:idx val="0"/>
        <c:delete val="1"/>
      </c:legendEntry>
      <c:legendEntry>
        <c:idx val="2"/>
        <c:delete val="1"/>
      </c:legendEntry>
      <c:layout>
        <c:manualLayout>
          <c:xMode val="edge"/>
          <c:yMode val="edge"/>
          <c:x val="0.16838104465623091"/>
          <c:y val="0.90285958556320223"/>
          <c:w val="0.69331600827752671"/>
          <c:h val="5.5148749263484918E-2"/>
        </c:manualLayout>
      </c:layout>
      <c:overlay val="0"/>
      <c:spPr>
        <a:noFill/>
        <a:ln w="25400">
          <a:noFill/>
        </a:ln>
      </c:sp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 b="0" i="0" u="none" strike="noStrike" baseline="0">
          <a:solidFill>
            <a:sysClr val="windowText" lastClr="000000"/>
          </a:solidFill>
          <a:latin typeface="Museo Sans 300" panose="02000000000000000000" pitchFamily="50" charset="0"/>
          <a:ea typeface="Calibri"/>
          <a:cs typeface="Calibri"/>
        </a:defRPr>
      </a:pPr>
      <a:endParaRPr lang="es-SV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'Datos graf'!$C$146</c:f>
              <c:strCache>
                <c:ptCount val="1"/>
              </c:strCache>
            </c:strRef>
          </c:tx>
          <c:spPr>
            <a:solidFill>
              <a:schemeClr val="accent1"/>
            </a:solidFill>
            <a:ln>
              <a:solidFill>
                <a:schemeClr val="accent5"/>
              </a:solidFill>
            </a:ln>
            <a:effectLst/>
          </c:spPr>
          <c:invertIfNegative val="0"/>
          <c:cat>
            <c:numRef>
              <c:f>'Datos graf'!$B$148:$B$164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'Datos graf'!$C$148:$C$163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0-ED00-4DB6-A460-F8A145492FB4}"/>
            </c:ext>
          </c:extLst>
        </c:ser>
        <c:ser>
          <c:idx val="1"/>
          <c:order val="1"/>
          <c:tx>
            <c:strRef>
              <c:f>'Datos graf'!$E$146</c:f>
              <c:strCache>
                <c:ptCount val="1"/>
                <c:pt idx="0">
                  <c:v>Déficit c/pensiones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>
              <a:solidFill>
                <a:schemeClr val="bg2">
                  <a:lumMod val="90000"/>
                </a:schemeClr>
              </a:solidFill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ED00-4DB6-A460-F8A145492FB4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ED00-4DB6-A460-F8A145492FB4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ED00-4DB6-A460-F8A145492FB4}"/>
              </c:ext>
            </c:extLst>
          </c:dPt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ED00-4DB6-A460-F8A145492FB4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ED00-4DB6-A460-F8A145492FB4}"/>
              </c:ext>
            </c:extLst>
          </c:dPt>
          <c:dPt>
            <c:idx val="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ED00-4DB6-A460-F8A145492FB4}"/>
              </c:ext>
            </c:extLst>
          </c:dPt>
          <c:cat>
            <c:numRef>
              <c:f>'Datos graf'!$B$148:$B$164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'Datos graf'!$E$148:$E$164</c:f>
              <c:numCache>
                <c:formatCode>#,##0.0</c:formatCode>
                <c:ptCount val="6"/>
                <c:pt idx="0">
                  <c:v>-2487.4727291359741</c:v>
                </c:pt>
                <c:pt idx="1">
                  <c:v>-1605.6329683610256</c:v>
                </c:pt>
                <c:pt idx="2" formatCode="0.0">
                  <c:v>-859.5223026336098</c:v>
                </c:pt>
                <c:pt idx="3" formatCode="0.0">
                  <c:v>-1586.5470004928757</c:v>
                </c:pt>
                <c:pt idx="4" formatCode="0.0">
                  <c:v>-1608.8823171757522</c:v>
                </c:pt>
                <c:pt idx="5" formatCode="0.0">
                  <c:v>-1050.2697084115262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ED00-4DB6-A460-F8A145492FB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5"/>
        <c:axId val="510406104"/>
        <c:axId val="510405712"/>
      </c:barChart>
      <c:lineChart>
        <c:grouping val="standard"/>
        <c:varyColors val="0"/>
        <c:ser>
          <c:idx val="2"/>
          <c:order val="2"/>
          <c:tx>
            <c:strRef>
              <c:f>'Datos graf'!$D$146</c:f>
              <c:strCache>
                <c:ptCount val="1"/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triangle"/>
            <c:size val="7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1.6814814814814848E-2"/>
                  <c:y val="-1.574851754641781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ED00-4DB6-A460-F8A145492FB4}"/>
                </c:ext>
              </c:extLst>
            </c:dLbl>
            <c:dLbl>
              <c:idx val="1"/>
              <c:layout>
                <c:manualLayout>
                  <c:x val="-2.9777777777777778E-2"/>
                  <c:y val="-1.883493729950425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D00-4DB6-A460-F8A145492FB4}"/>
                </c:ext>
              </c:extLst>
            </c:dLbl>
            <c:dLbl>
              <c:idx val="3"/>
              <c:layout>
                <c:manualLayout>
                  <c:x val="-3.5333333333333335E-2"/>
                  <c:y val="-4.352629532419569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ED00-4DB6-A460-F8A145492FB4}"/>
                </c:ext>
              </c:extLst>
            </c:dLbl>
            <c:dLbl>
              <c:idx val="6"/>
              <c:layout>
                <c:manualLayout>
                  <c:x val="-2.4222222222222221E-2"/>
                  <c:y val="-5.278555458345484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ED00-4DB6-A460-F8A145492FB4}"/>
                </c:ext>
              </c:extLst>
            </c:dLbl>
            <c:spPr>
              <a:noFill/>
              <a:ln w="25400">
                <a:noFill/>
              </a:ln>
            </c:sp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'Datos graf'!$B$147:$B$164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'Datos graf'!$D$148:$D$163</c:f>
              <c:numCache>
                <c:formatCode>General</c:formatCode>
                <c:ptCount val="5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ED00-4DB6-A460-F8A145492FB4}"/>
            </c:ext>
          </c:extLst>
        </c:ser>
        <c:ser>
          <c:idx val="3"/>
          <c:order val="3"/>
          <c:tx>
            <c:strRef>
              <c:f>'Datos graf'!$F$146</c:f>
              <c:strCache>
                <c:ptCount val="1"/>
                <c:pt idx="0">
                  <c:v>Déficit  c/pensiones % PIB</c:v>
                </c:pt>
              </c:strCache>
            </c:strRef>
          </c:tx>
          <c:spPr>
            <a:ln w="28575" cap="rnd">
              <a:solidFill>
                <a:srgbClr val="002060"/>
              </a:solidFill>
              <a:round/>
            </a:ln>
            <a:effectLst/>
          </c:spPr>
          <c:marker>
            <c:symbol val="x"/>
            <c:size val="5"/>
            <c:spPr>
              <a:solidFill>
                <a:srgbClr val="00B0F0"/>
              </a:solidFill>
              <a:ln w="9525">
                <a:solidFill>
                  <a:srgbClr val="002060"/>
                </a:solidFill>
              </a:ln>
              <a:effectLst/>
            </c:spPr>
          </c:marker>
          <c:dLbls>
            <c:dLbl>
              <c:idx val="5"/>
              <c:layout>
                <c:manualLayout>
                  <c:x val="-5.7555555555555624E-2"/>
                  <c:y val="4.043987557110916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ED00-4DB6-A460-F8A145492FB4}"/>
                </c:ext>
              </c:extLst>
            </c:dLbl>
            <c:dLbl>
              <c:idx val="6"/>
              <c:layout>
                <c:manualLayout>
                  <c:x val="-7.7064887722368039E-2"/>
                  <c:y val="3.426703606493632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ED00-4DB6-A460-F8A145492FB4}"/>
                </c:ext>
              </c:extLst>
            </c:dLbl>
            <c:dLbl>
              <c:idx val="7"/>
              <c:layout>
                <c:manualLayout>
                  <c:x val="-2.0518518518518655E-2"/>
                  <c:y val="3.426703606493638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ED00-4DB6-A460-F8A145492FB4}"/>
                </c:ext>
              </c:extLst>
            </c:dLbl>
            <c:spPr>
              <a:solidFill>
                <a:schemeClr val="tx2">
                  <a:lumMod val="60000"/>
                  <a:lumOff val="40000"/>
                </a:schemeClr>
              </a:solidFill>
              <a:ln w="25400">
                <a:noFill/>
              </a:ln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es-SV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'Datos graf'!$B$147:$B$164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  <c:pt idx="5">
                  <c:v>2025</c:v>
                </c:pt>
              </c:numCache>
            </c:numRef>
          </c:cat>
          <c:val>
            <c:numRef>
              <c:f>'Datos graf'!$F$148:$F$164</c:f>
              <c:numCache>
                <c:formatCode>0.0%</c:formatCode>
                <c:ptCount val="6"/>
                <c:pt idx="0">
                  <c:v>-9.9813561436511433E-2</c:v>
                </c:pt>
                <c:pt idx="1">
                  <c:v>-5.5284413750063724E-2</c:v>
                </c:pt>
                <c:pt idx="2">
                  <c:v>-2.6969544685715066E-2</c:v>
                </c:pt>
                <c:pt idx="3">
                  <c:v>-4.7267295469609324E-2</c:v>
                </c:pt>
                <c:pt idx="4">
                  <c:v>-4.6126567637415003E-2</c:v>
                </c:pt>
                <c:pt idx="5">
                  <c:v>-2.8611381851144122E-2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0-ED00-4DB6-A460-F8A145492FB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10394344"/>
        <c:axId val="510395128"/>
      </c:lineChart>
      <c:catAx>
        <c:axId val="5104061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es-SV"/>
          </a:p>
        </c:txPr>
        <c:crossAx val="510405712"/>
        <c:crosses val="autoZero"/>
        <c:auto val="1"/>
        <c:lblAlgn val="ctr"/>
        <c:lblOffset val="100"/>
        <c:noMultiLvlLbl val="0"/>
      </c:catAx>
      <c:valAx>
        <c:axId val="510405712"/>
        <c:scaling>
          <c:orientation val="minMax"/>
          <c:min val="-2800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0" vert="horz"/>
          <a:lstStyle/>
          <a:p>
            <a:pPr>
              <a:defRPr/>
            </a:pPr>
            <a:endParaRPr lang="es-SV"/>
          </a:p>
        </c:txPr>
        <c:crossAx val="510406104"/>
        <c:crosses val="autoZero"/>
        <c:crossBetween val="between"/>
      </c:valAx>
      <c:catAx>
        <c:axId val="51039434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510395128"/>
        <c:crosses val="autoZero"/>
        <c:auto val="1"/>
        <c:lblAlgn val="ctr"/>
        <c:lblOffset val="100"/>
        <c:noMultiLvlLbl val="0"/>
      </c:catAx>
      <c:valAx>
        <c:axId val="510395128"/>
        <c:scaling>
          <c:orientation val="minMax"/>
        </c:scaling>
        <c:delete val="0"/>
        <c:axPos val="r"/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0" vert="horz"/>
          <a:lstStyle/>
          <a:p>
            <a:pPr>
              <a:defRPr/>
            </a:pPr>
            <a:endParaRPr lang="es-SV"/>
          </a:p>
        </c:txPr>
        <c:crossAx val="510394344"/>
        <c:crosses val="max"/>
        <c:crossBetween val="between"/>
      </c:valAx>
      <c:spPr>
        <a:noFill/>
        <a:ln w="25400">
          <a:noFill/>
        </a:ln>
      </c:spPr>
    </c:plotArea>
    <c:legend>
      <c:legendPos val="b"/>
      <c:legendEntry>
        <c:idx val="0"/>
        <c:delete val="1"/>
      </c:legendEntry>
      <c:legendEntry>
        <c:idx val="2"/>
        <c:delete val="1"/>
      </c:legendEntry>
      <c:layout>
        <c:manualLayout>
          <c:xMode val="edge"/>
          <c:yMode val="edge"/>
          <c:x val="0.19203586319409693"/>
          <c:y val="0.88680683057878829"/>
          <c:w val="0.64629629629629626"/>
          <c:h val="0.10530110819480898"/>
        </c:manualLayout>
      </c:layout>
      <c:overlay val="0"/>
      <c:spPr>
        <a:noFill/>
        <a:ln w="25400">
          <a:noFill/>
        </a:ln>
      </c:sp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Museo Sans 300" panose="02000000000000000000" pitchFamily="50" charset="0"/>
          <a:ea typeface="Calibri"/>
          <a:cs typeface="Calibri"/>
        </a:defRPr>
      </a:pPr>
      <a:endParaRPr lang="es-SV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2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dk1">
            <a:lumMod val="75000"/>
            <a:lumOff val="2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dk1">
            <a:lumMod val="75000"/>
            <a:lumOff val="25000"/>
          </a:schemeClr>
        </a:solidFill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32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dk1">
            <a:lumMod val="75000"/>
            <a:lumOff val="2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dk1">
            <a:lumMod val="75000"/>
            <a:lumOff val="25000"/>
          </a:schemeClr>
        </a:solidFill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05D26-FDF8-42BE-8B16-4422E479B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24</Pages>
  <Words>4493</Words>
  <Characters>24713</Characters>
  <Application>Microsoft Office Word</Application>
  <DocSecurity>0</DocSecurity>
  <Lines>205</Lines>
  <Paragraphs>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Jeffry Isaac Bonilla Melara</cp:lastModifiedBy>
  <cp:revision>21</cp:revision>
  <cp:lastPrinted>2026-10-19T22:19:00Z</cp:lastPrinted>
  <dcterms:created xsi:type="dcterms:W3CDTF">2026-10-19T18:38:00Z</dcterms:created>
  <dcterms:modified xsi:type="dcterms:W3CDTF">2026-10-19T22:29:00Z</dcterms:modified>
</cp:coreProperties>
</file>