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78E75" w14:textId="77777777" w:rsidR="00B44772" w:rsidRPr="0001362C" w:rsidRDefault="00823BC1" w:rsidP="00823BC1">
      <w:pPr>
        <w:tabs>
          <w:tab w:val="left" w:pos="5040"/>
        </w:tabs>
        <w:spacing w:line="276" w:lineRule="auto"/>
        <w:jc w:val="center"/>
        <w:rPr>
          <w:rFonts w:ascii="Museo Sans 300" w:hAnsi="Museo Sans 300" w:cstheme="minorHAnsi"/>
          <w:b/>
          <w:bCs/>
          <w:sz w:val="22"/>
          <w:szCs w:val="22"/>
        </w:rPr>
      </w:pPr>
      <w:bookmarkStart w:id="0" w:name="_Hlk200098849"/>
      <w:bookmarkStart w:id="1" w:name="_Toc56581203"/>
      <w:bookmarkStart w:id="2" w:name="_Toc169162404"/>
      <w:bookmarkEnd w:id="0"/>
      <w:r w:rsidRPr="0001362C">
        <w:rPr>
          <w:rFonts w:ascii="Museo Sans 300" w:hAnsi="Museo Sans 300" w:cstheme="minorHAnsi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70D038E6" wp14:editId="1562BF22">
            <wp:simplePos x="0" y="0"/>
            <wp:positionH relativeFrom="page">
              <wp:posOffset>7034</wp:posOffset>
            </wp:positionH>
            <wp:positionV relativeFrom="paragraph">
              <wp:posOffset>-895986</wp:posOffset>
            </wp:positionV>
            <wp:extent cx="7751445" cy="10086535"/>
            <wp:effectExtent l="0" t="0" r="1905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480" cy="1009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1048F" w14:textId="77777777" w:rsidR="00665494" w:rsidRPr="0001362C" w:rsidRDefault="00665494" w:rsidP="00E61B3F">
      <w:pPr>
        <w:spacing w:line="276" w:lineRule="auto"/>
        <w:jc w:val="center"/>
        <w:rPr>
          <w:rFonts w:ascii="Museo Sans 300" w:hAnsi="Museo Sans 300" w:cstheme="minorHAnsi"/>
          <w:noProof/>
          <w:sz w:val="22"/>
          <w:szCs w:val="22"/>
        </w:rPr>
      </w:pPr>
    </w:p>
    <w:p w14:paraId="1A28A490" w14:textId="77777777" w:rsidR="00B44772" w:rsidRPr="0001362C" w:rsidRDefault="00B44772" w:rsidP="00E61B3F">
      <w:pPr>
        <w:spacing w:line="276" w:lineRule="auto"/>
        <w:jc w:val="center"/>
        <w:rPr>
          <w:rFonts w:ascii="Museo Sans 300" w:hAnsi="Museo Sans 300" w:cstheme="minorHAnsi"/>
          <w:b/>
          <w:bCs/>
          <w:sz w:val="22"/>
          <w:szCs w:val="22"/>
        </w:rPr>
      </w:pPr>
    </w:p>
    <w:p w14:paraId="243DEE26" w14:textId="77777777" w:rsidR="00B44772" w:rsidRPr="0001362C" w:rsidRDefault="00B44772" w:rsidP="00E61B3F">
      <w:pPr>
        <w:spacing w:line="276" w:lineRule="auto"/>
        <w:jc w:val="center"/>
        <w:rPr>
          <w:rFonts w:ascii="Museo Sans 300" w:hAnsi="Museo Sans 300" w:cstheme="minorHAnsi"/>
          <w:b/>
          <w:bCs/>
          <w:sz w:val="22"/>
          <w:szCs w:val="22"/>
        </w:rPr>
      </w:pPr>
    </w:p>
    <w:p w14:paraId="76E5E65E" w14:textId="77777777" w:rsidR="00B44772" w:rsidRPr="0001362C" w:rsidRDefault="00B44772" w:rsidP="00E61B3F">
      <w:pPr>
        <w:spacing w:line="276" w:lineRule="auto"/>
        <w:jc w:val="center"/>
        <w:rPr>
          <w:rFonts w:ascii="Museo Sans 300" w:hAnsi="Museo Sans 300" w:cstheme="minorHAnsi"/>
          <w:b/>
          <w:bCs/>
          <w:sz w:val="22"/>
          <w:szCs w:val="22"/>
        </w:rPr>
      </w:pPr>
    </w:p>
    <w:p w14:paraId="6CC397AF" w14:textId="77777777" w:rsidR="00B44772" w:rsidRPr="0001362C" w:rsidRDefault="00B44772" w:rsidP="00E61B3F">
      <w:pPr>
        <w:spacing w:line="276" w:lineRule="auto"/>
        <w:rPr>
          <w:rFonts w:ascii="Museo Sans 300" w:hAnsi="Museo Sans 300" w:cstheme="minorHAnsi"/>
          <w:sz w:val="22"/>
          <w:szCs w:val="22"/>
          <w:lang w:val="es-MX"/>
        </w:rPr>
      </w:pPr>
      <w:bookmarkStart w:id="3" w:name="_Toc505951453"/>
    </w:p>
    <w:bookmarkEnd w:id="3"/>
    <w:p w14:paraId="269F1860" w14:textId="77777777" w:rsidR="00E61B3F" w:rsidRPr="0001362C" w:rsidRDefault="00E61B3F" w:rsidP="00E61B3F">
      <w:pPr>
        <w:pStyle w:val="TtuloTDC"/>
        <w:spacing w:line="276" w:lineRule="auto"/>
        <w:jc w:val="center"/>
        <w:rPr>
          <w:rFonts w:ascii="Museo Sans 300" w:hAnsi="Museo Sans 300" w:cstheme="minorHAnsi"/>
          <w:sz w:val="22"/>
          <w:szCs w:val="22"/>
        </w:rPr>
      </w:pPr>
    </w:p>
    <w:sdt>
      <w:sdtPr>
        <w:rPr>
          <w:rFonts w:ascii="Museo Sans 300" w:hAnsi="Museo Sans 300" w:cstheme="minorHAnsi"/>
          <w:sz w:val="22"/>
          <w:szCs w:val="22"/>
          <w:lang w:val="es-ES"/>
        </w:rPr>
        <w:id w:val="-2712398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76E1D5" w14:textId="77777777" w:rsidR="00665494" w:rsidRPr="0001362C" w:rsidRDefault="00665494" w:rsidP="00E61B3F">
          <w:pPr>
            <w:spacing w:line="276" w:lineRule="auto"/>
            <w:rPr>
              <w:rFonts w:ascii="Museo Sans 300" w:hAnsi="Museo Sans 300" w:cstheme="minorHAnsi"/>
              <w:sz w:val="22"/>
              <w:szCs w:val="22"/>
              <w:lang w:val="es-ES"/>
            </w:rPr>
          </w:pPr>
        </w:p>
        <w:p w14:paraId="2BC282BE" w14:textId="77777777" w:rsidR="00665494" w:rsidRPr="0001362C" w:rsidRDefault="00665494" w:rsidP="00E61B3F">
          <w:pPr>
            <w:spacing w:line="276" w:lineRule="auto"/>
            <w:rPr>
              <w:rFonts w:ascii="Museo Sans 300" w:hAnsi="Museo Sans 300" w:cstheme="minorHAnsi"/>
              <w:sz w:val="22"/>
              <w:szCs w:val="22"/>
              <w:lang w:val="es-ES"/>
            </w:rPr>
          </w:pPr>
        </w:p>
        <w:p w14:paraId="601E8F1C" w14:textId="77777777" w:rsidR="00665494" w:rsidRPr="0001362C" w:rsidRDefault="00441AD3" w:rsidP="00E61B3F">
          <w:pPr>
            <w:spacing w:line="276" w:lineRule="auto"/>
            <w:rPr>
              <w:rFonts w:ascii="Museo Sans 300" w:hAnsi="Museo Sans 300" w:cstheme="minorHAnsi"/>
              <w:sz w:val="22"/>
              <w:szCs w:val="22"/>
              <w:lang w:val="es-ES"/>
            </w:rPr>
          </w:pPr>
          <w:r w:rsidRPr="0001362C">
            <w:rPr>
              <w:rFonts w:ascii="Museo Sans 300" w:hAnsi="Museo Sans 300" w:cstheme="minorHAnsi"/>
              <w:noProof/>
              <w:sz w:val="22"/>
              <w:szCs w:val="22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1917778F" wp14:editId="34525D7A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400685</wp:posOffset>
                    </wp:positionV>
                    <wp:extent cx="5642610" cy="1391920"/>
                    <wp:effectExtent l="0" t="0" r="0" b="0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42919" cy="13921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E16307" w14:textId="084B48D5" w:rsidR="00677617" w:rsidRPr="00075F3A" w:rsidRDefault="00677617" w:rsidP="00665494">
                                <w:pPr>
                                  <w:jc w:val="center"/>
                                  <w:rPr>
                                    <w:rFonts w:cstheme="minorHAnsi"/>
                                    <w:color w:val="002060"/>
                                    <w:sz w:val="60"/>
                                    <w:szCs w:val="60"/>
                                    <w:lang w:val="es-SV"/>
                                  </w:rPr>
                                </w:pPr>
                                <w:r w:rsidRPr="00075F3A">
                                  <w:rPr>
                                    <w:rFonts w:cstheme="minorHAnsi"/>
                                    <w:b/>
                                    <w:color w:val="002060"/>
                                    <w:sz w:val="60"/>
                                    <w:szCs w:val="60"/>
                                    <w:lang w:val="es-MX"/>
                                  </w:rPr>
                                  <w:t>INFORME PRELIMINAR</w:t>
                                </w:r>
                                <w:r w:rsidRPr="00075F3A">
                                  <w:rPr>
                                    <w:rFonts w:cstheme="minorHAnsi"/>
                                    <w:color w:val="002060"/>
                                    <w:sz w:val="60"/>
                                    <w:szCs w:val="60"/>
                                    <w:lang w:val="es-MX"/>
                                  </w:rPr>
                                  <w:t xml:space="preserve"> DE GESTIÓN DE LAS    FINANZAS PÚBLICAS</w:t>
                                </w:r>
                                <w:r>
                                  <w:rPr>
                                    <w:rFonts w:cstheme="minorHAnsi"/>
                                    <w:color w:val="002060"/>
                                    <w:sz w:val="60"/>
                                    <w:szCs w:val="60"/>
                                    <w:lang w:val="es-MX"/>
                                  </w:rPr>
                                  <w:t xml:space="preserve"> A MARZO 2025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17778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0;margin-top:31.55pt;width:444.3pt;height:109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" filled="f" stroked="f">
                    <v:textbox>
                      <w:txbxContent>
                        <w:p w14:paraId="38E16307" w14:textId="084B48D5" w:rsidR="00677617" w:rsidRPr="00075F3A" w:rsidRDefault="00677617" w:rsidP="00665494">
                          <w:pPr>
                            <w:jc w:val="center"/>
                            <w:rPr>
                              <w:rFonts w:cstheme="minorHAnsi"/>
                              <w:color w:val="002060"/>
                              <w:sz w:val="60"/>
                              <w:szCs w:val="60"/>
                              <w:lang w:val="es-SV"/>
                            </w:rPr>
                          </w:pPr>
                          <w:r w:rsidRPr="00075F3A">
                            <w:rPr>
                              <w:rFonts w:cstheme="minorHAnsi"/>
                              <w:b/>
                              <w:color w:val="002060"/>
                              <w:sz w:val="60"/>
                              <w:szCs w:val="60"/>
                              <w:lang w:val="es-MX"/>
                            </w:rPr>
                            <w:t>INFORME PRELIMINAR</w:t>
                          </w:r>
                          <w:r w:rsidRPr="00075F3A">
                            <w:rPr>
                              <w:rFonts w:cstheme="minorHAnsi"/>
                              <w:color w:val="002060"/>
                              <w:sz w:val="60"/>
                              <w:szCs w:val="60"/>
                              <w:lang w:val="es-MX"/>
                            </w:rPr>
                            <w:t xml:space="preserve"> DE GESTIÓN DE LAS    FINANZAS PÚBLICAS</w:t>
                          </w:r>
                          <w:r>
                            <w:rPr>
                              <w:rFonts w:cstheme="minorHAnsi"/>
                              <w:color w:val="002060"/>
                              <w:sz w:val="60"/>
                              <w:szCs w:val="60"/>
                              <w:lang w:val="es-MX"/>
                            </w:rPr>
                            <w:t xml:space="preserve"> A MARZO 2025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0F650815" w14:textId="77777777" w:rsidR="00665494" w:rsidRPr="0001362C" w:rsidRDefault="00665494" w:rsidP="00E61B3F">
          <w:pPr>
            <w:spacing w:line="276" w:lineRule="auto"/>
            <w:rPr>
              <w:rFonts w:ascii="Museo Sans 300" w:hAnsi="Museo Sans 300" w:cstheme="minorHAnsi"/>
              <w:sz w:val="22"/>
              <w:szCs w:val="22"/>
              <w:lang w:val="es-ES"/>
            </w:rPr>
          </w:pPr>
        </w:p>
        <w:p w14:paraId="31F3B81D" w14:textId="77777777" w:rsidR="00665494" w:rsidRPr="0001362C" w:rsidRDefault="00665494" w:rsidP="00E61B3F">
          <w:pPr>
            <w:spacing w:line="276" w:lineRule="auto"/>
            <w:rPr>
              <w:rFonts w:ascii="Museo Sans 300" w:hAnsi="Museo Sans 300" w:cstheme="minorHAnsi"/>
              <w:sz w:val="22"/>
              <w:szCs w:val="22"/>
              <w:lang w:val="es-ES"/>
            </w:rPr>
          </w:pPr>
        </w:p>
        <w:p w14:paraId="6DEB09FF" w14:textId="77777777" w:rsidR="00665494" w:rsidRPr="0001362C" w:rsidRDefault="00665494" w:rsidP="00E61B3F">
          <w:pPr>
            <w:spacing w:line="276" w:lineRule="auto"/>
            <w:rPr>
              <w:rFonts w:ascii="Museo Sans 300" w:hAnsi="Museo Sans 300" w:cstheme="minorHAnsi"/>
              <w:sz w:val="22"/>
              <w:szCs w:val="22"/>
              <w:lang w:val="es-ES"/>
            </w:rPr>
          </w:pPr>
        </w:p>
        <w:p w14:paraId="6CEB7731" w14:textId="77777777" w:rsidR="00665494" w:rsidRPr="0001362C" w:rsidRDefault="00665494" w:rsidP="00E61B3F">
          <w:pPr>
            <w:spacing w:line="276" w:lineRule="auto"/>
            <w:rPr>
              <w:rFonts w:ascii="Museo Sans 300" w:hAnsi="Museo Sans 300" w:cstheme="minorHAnsi"/>
              <w:sz w:val="22"/>
              <w:szCs w:val="22"/>
              <w:lang w:val="es-ES"/>
            </w:rPr>
          </w:pPr>
        </w:p>
        <w:p w14:paraId="204880DF" w14:textId="77777777" w:rsidR="00665494" w:rsidRPr="0001362C" w:rsidRDefault="00665494" w:rsidP="00E61B3F">
          <w:pPr>
            <w:spacing w:line="276" w:lineRule="auto"/>
            <w:rPr>
              <w:rFonts w:ascii="Museo Sans 300" w:hAnsi="Museo Sans 300" w:cstheme="minorHAnsi"/>
              <w:sz w:val="22"/>
              <w:szCs w:val="22"/>
              <w:lang w:val="es-ES"/>
            </w:rPr>
          </w:pPr>
        </w:p>
        <w:p w14:paraId="1884BE69" w14:textId="77777777" w:rsidR="00665494" w:rsidRPr="0001362C" w:rsidRDefault="00665494" w:rsidP="00E61B3F">
          <w:pPr>
            <w:spacing w:line="276" w:lineRule="auto"/>
            <w:rPr>
              <w:rFonts w:ascii="Museo Sans 300" w:hAnsi="Museo Sans 300" w:cstheme="minorHAnsi"/>
              <w:sz w:val="22"/>
              <w:szCs w:val="22"/>
              <w:lang w:val="es-ES"/>
            </w:rPr>
          </w:pPr>
        </w:p>
        <w:p w14:paraId="37897BFD" w14:textId="77777777" w:rsidR="00665494" w:rsidRPr="0001362C" w:rsidRDefault="00665494" w:rsidP="00E61B3F">
          <w:pPr>
            <w:spacing w:line="276" w:lineRule="auto"/>
            <w:rPr>
              <w:rFonts w:ascii="Museo Sans 300" w:hAnsi="Museo Sans 300" w:cstheme="minorHAnsi"/>
              <w:sz w:val="22"/>
              <w:szCs w:val="22"/>
              <w:lang w:val="es-ES"/>
            </w:rPr>
          </w:pPr>
        </w:p>
        <w:p w14:paraId="30667B71" w14:textId="77777777" w:rsidR="00665494" w:rsidRPr="0001362C" w:rsidRDefault="00665494" w:rsidP="00E61B3F">
          <w:pPr>
            <w:spacing w:line="276" w:lineRule="auto"/>
            <w:rPr>
              <w:rFonts w:ascii="Museo Sans 300" w:hAnsi="Museo Sans 300" w:cstheme="minorHAnsi"/>
              <w:sz w:val="22"/>
              <w:szCs w:val="22"/>
              <w:lang w:val="es-ES"/>
            </w:rPr>
          </w:pPr>
        </w:p>
        <w:p w14:paraId="669A726B" w14:textId="77777777" w:rsidR="00665494" w:rsidRPr="0001362C" w:rsidRDefault="00665494" w:rsidP="00E61B3F">
          <w:pPr>
            <w:spacing w:line="276" w:lineRule="auto"/>
            <w:rPr>
              <w:rFonts w:ascii="Museo Sans 300" w:hAnsi="Museo Sans 300" w:cstheme="minorHAnsi"/>
              <w:sz w:val="22"/>
              <w:szCs w:val="22"/>
              <w:lang w:val="es-ES"/>
            </w:rPr>
          </w:pPr>
        </w:p>
        <w:p w14:paraId="4E2460F1" w14:textId="77777777" w:rsidR="00665494" w:rsidRPr="0001362C" w:rsidRDefault="00665494" w:rsidP="00E61B3F">
          <w:pPr>
            <w:spacing w:line="276" w:lineRule="auto"/>
            <w:rPr>
              <w:rFonts w:ascii="Museo Sans 300" w:hAnsi="Museo Sans 300" w:cstheme="minorHAnsi"/>
              <w:sz w:val="22"/>
              <w:szCs w:val="22"/>
              <w:lang w:val="es-ES"/>
            </w:rPr>
          </w:pPr>
        </w:p>
        <w:p w14:paraId="64A7D0DE" w14:textId="77777777" w:rsidR="00665494" w:rsidRPr="0001362C" w:rsidRDefault="00665494" w:rsidP="00E61B3F">
          <w:pPr>
            <w:spacing w:line="276" w:lineRule="auto"/>
            <w:rPr>
              <w:rFonts w:ascii="Museo Sans 300" w:hAnsi="Museo Sans 300" w:cstheme="minorHAnsi"/>
              <w:sz w:val="22"/>
              <w:szCs w:val="22"/>
              <w:lang w:val="es-ES"/>
            </w:rPr>
          </w:pPr>
        </w:p>
        <w:p w14:paraId="1504D441" w14:textId="77777777" w:rsidR="00665494" w:rsidRPr="0001362C" w:rsidRDefault="00665494" w:rsidP="00E61B3F">
          <w:pPr>
            <w:spacing w:line="276" w:lineRule="auto"/>
            <w:rPr>
              <w:rFonts w:ascii="Museo Sans 300" w:hAnsi="Museo Sans 300" w:cstheme="minorHAnsi"/>
              <w:sz w:val="22"/>
              <w:szCs w:val="22"/>
              <w:lang w:val="es-ES"/>
            </w:rPr>
          </w:pPr>
        </w:p>
        <w:p w14:paraId="754F81E6" w14:textId="77777777" w:rsidR="00665494" w:rsidRPr="0001362C" w:rsidRDefault="00665494" w:rsidP="00E61B3F">
          <w:pPr>
            <w:spacing w:line="276" w:lineRule="auto"/>
            <w:rPr>
              <w:rFonts w:ascii="Museo Sans 300" w:hAnsi="Museo Sans 300" w:cstheme="minorHAnsi"/>
              <w:sz w:val="22"/>
              <w:szCs w:val="22"/>
              <w:lang w:val="es-ES"/>
            </w:rPr>
          </w:pPr>
        </w:p>
        <w:p w14:paraId="06374EEB" w14:textId="77777777" w:rsidR="00665494" w:rsidRPr="0001362C" w:rsidRDefault="00665494" w:rsidP="00E61B3F">
          <w:pPr>
            <w:spacing w:line="276" w:lineRule="auto"/>
            <w:rPr>
              <w:rFonts w:ascii="Museo Sans 300" w:hAnsi="Museo Sans 300" w:cstheme="minorHAnsi"/>
              <w:sz w:val="22"/>
              <w:szCs w:val="22"/>
              <w:lang w:val="es-ES"/>
            </w:rPr>
          </w:pPr>
        </w:p>
        <w:p w14:paraId="12DB3250" w14:textId="77777777" w:rsidR="00665494" w:rsidRPr="0001362C" w:rsidRDefault="00665494" w:rsidP="00E61B3F">
          <w:pPr>
            <w:spacing w:line="276" w:lineRule="auto"/>
            <w:rPr>
              <w:rFonts w:ascii="Museo Sans 300" w:hAnsi="Museo Sans 300" w:cstheme="minorHAnsi"/>
              <w:sz w:val="22"/>
              <w:szCs w:val="22"/>
              <w:lang w:val="es-ES"/>
            </w:rPr>
          </w:pPr>
        </w:p>
        <w:p w14:paraId="7E25EF97" w14:textId="77777777" w:rsidR="00665494" w:rsidRPr="0001362C" w:rsidRDefault="00665494" w:rsidP="00E61B3F">
          <w:pPr>
            <w:spacing w:line="276" w:lineRule="auto"/>
            <w:rPr>
              <w:rFonts w:ascii="Museo Sans 300" w:hAnsi="Museo Sans 300" w:cstheme="minorHAnsi"/>
              <w:sz w:val="22"/>
              <w:szCs w:val="22"/>
              <w:lang w:val="es-ES"/>
            </w:rPr>
          </w:pPr>
        </w:p>
        <w:p w14:paraId="10656D78" w14:textId="77777777" w:rsidR="00665494" w:rsidRPr="0001362C" w:rsidRDefault="00665494" w:rsidP="00E61B3F">
          <w:pPr>
            <w:spacing w:line="276" w:lineRule="auto"/>
            <w:rPr>
              <w:rFonts w:ascii="Museo Sans 300" w:hAnsi="Museo Sans 300" w:cstheme="minorHAnsi"/>
              <w:sz w:val="22"/>
              <w:szCs w:val="22"/>
              <w:lang w:val="es-ES"/>
            </w:rPr>
          </w:pPr>
        </w:p>
        <w:p w14:paraId="1E254094" w14:textId="77777777" w:rsidR="00665494" w:rsidRPr="0001362C" w:rsidRDefault="00665494" w:rsidP="00E61B3F">
          <w:pPr>
            <w:spacing w:line="276" w:lineRule="auto"/>
            <w:rPr>
              <w:rFonts w:ascii="Museo Sans 300" w:hAnsi="Museo Sans 300" w:cstheme="minorHAnsi"/>
              <w:sz w:val="22"/>
              <w:szCs w:val="22"/>
              <w:lang w:val="es-ES"/>
            </w:rPr>
          </w:pPr>
        </w:p>
        <w:p w14:paraId="162B3925" w14:textId="77777777" w:rsidR="00665494" w:rsidRPr="0001362C" w:rsidRDefault="00665494" w:rsidP="00E61B3F">
          <w:pPr>
            <w:spacing w:line="276" w:lineRule="auto"/>
            <w:rPr>
              <w:rFonts w:ascii="Museo Sans 300" w:hAnsi="Museo Sans 300" w:cstheme="minorHAnsi"/>
              <w:sz w:val="22"/>
              <w:szCs w:val="22"/>
              <w:lang w:val="es-ES"/>
            </w:rPr>
          </w:pPr>
        </w:p>
        <w:p w14:paraId="133C0FF2" w14:textId="77777777" w:rsidR="00665494" w:rsidRPr="0001362C" w:rsidRDefault="00665494" w:rsidP="00E61B3F">
          <w:pPr>
            <w:spacing w:line="276" w:lineRule="auto"/>
            <w:rPr>
              <w:rFonts w:ascii="Museo Sans 300" w:hAnsi="Museo Sans 300" w:cstheme="minorHAnsi"/>
              <w:sz w:val="22"/>
              <w:szCs w:val="22"/>
              <w:lang w:val="es-ES"/>
            </w:rPr>
          </w:pPr>
        </w:p>
        <w:p w14:paraId="023C5FAE" w14:textId="77777777" w:rsidR="00665494" w:rsidRPr="0001362C" w:rsidRDefault="00665494" w:rsidP="00E61B3F">
          <w:pPr>
            <w:spacing w:line="276" w:lineRule="auto"/>
            <w:rPr>
              <w:rFonts w:ascii="Museo Sans 300" w:hAnsi="Museo Sans 300" w:cstheme="minorHAnsi"/>
              <w:sz w:val="22"/>
              <w:szCs w:val="22"/>
              <w:lang w:val="es-ES"/>
            </w:rPr>
          </w:pPr>
        </w:p>
        <w:p w14:paraId="612F427E" w14:textId="77777777" w:rsidR="00665494" w:rsidRPr="0001362C" w:rsidRDefault="00665494" w:rsidP="00E61B3F">
          <w:pPr>
            <w:spacing w:line="276" w:lineRule="auto"/>
            <w:rPr>
              <w:rFonts w:ascii="Museo Sans 300" w:hAnsi="Museo Sans 300" w:cstheme="minorHAnsi"/>
              <w:sz w:val="22"/>
              <w:szCs w:val="22"/>
              <w:lang w:val="es-ES"/>
            </w:rPr>
          </w:pPr>
        </w:p>
        <w:p w14:paraId="6D16C306" w14:textId="77777777" w:rsidR="00665494" w:rsidRPr="0001362C" w:rsidRDefault="00665494" w:rsidP="00E61B3F">
          <w:pPr>
            <w:spacing w:line="276" w:lineRule="auto"/>
            <w:rPr>
              <w:rFonts w:ascii="Museo Sans 300" w:hAnsi="Museo Sans 300" w:cstheme="minorHAnsi"/>
              <w:sz w:val="22"/>
              <w:szCs w:val="22"/>
              <w:lang w:val="es-ES"/>
            </w:rPr>
          </w:pPr>
        </w:p>
        <w:p w14:paraId="1D44B990" w14:textId="77777777" w:rsidR="00665494" w:rsidRPr="0001362C" w:rsidRDefault="00665494" w:rsidP="00E61B3F">
          <w:pPr>
            <w:spacing w:line="276" w:lineRule="auto"/>
            <w:rPr>
              <w:rFonts w:ascii="Museo Sans 300" w:hAnsi="Museo Sans 300" w:cstheme="minorHAnsi"/>
              <w:sz w:val="22"/>
              <w:szCs w:val="22"/>
              <w:lang w:val="es-ES"/>
            </w:rPr>
          </w:pPr>
        </w:p>
        <w:p w14:paraId="708F90DE" w14:textId="77777777" w:rsidR="00B44772" w:rsidRPr="0001362C" w:rsidRDefault="00B44772" w:rsidP="00E61B3F">
          <w:pPr>
            <w:spacing w:line="276" w:lineRule="auto"/>
            <w:rPr>
              <w:rFonts w:ascii="Museo Sans 300" w:hAnsi="Museo Sans 300" w:cstheme="minorHAnsi"/>
              <w:sz w:val="22"/>
              <w:szCs w:val="22"/>
            </w:rPr>
          </w:pPr>
          <w:r w:rsidRPr="0001362C">
            <w:rPr>
              <w:rFonts w:ascii="Museo Sans 300" w:hAnsi="Museo Sans 300" w:cstheme="minorHAnsi"/>
              <w:sz w:val="22"/>
              <w:szCs w:val="22"/>
              <w:lang w:val="es-ES"/>
            </w:rPr>
            <w:t>Contenido</w:t>
          </w:r>
        </w:p>
        <w:p w14:paraId="74776656" w14:textId="543E8077" w:rsidR="00876BA9" w:rsidRDefault="00B44772">
          <w:pPr>
            <w:pStyle w:val="TDC1"/>
            <w:tabs>
              <w:tab w:val="right" w:leader="dot" w:pos="8832"/>
            </w:tabs>
            <w:rPr>
              <w:rFonts w:eastAsiaTheme="minorEastAsia" w:cstheme="minorBidi"/>
              <w:noProof/>
              <w:sz w:val="22"/>
              <w:szCs w:val="22"/>
              <w:lang w:val="es-SV" w:eastAsia="es-SV"/>
            </w:rPr>
          </w:pPr>
          <w:r w:rsidRPr="0001362C">
            <w:rPr>
              <w:rFonts w:ascii="Museo Sans 300" w:hAnsi="Museo Sans 300" w:cstheme="minorHAnsi"/>
              <w:sz w:val="22"/>
              <w:szCs w:val="22"/>
            </w:rPr>
            <w:fldChar w:fldCharType="begin"/>
          </w:r>
          <w:r w:rsidRPr="0001362C">
            <w:rPr>
              <w:rFonts w:ascii="Museo Sans 300" w:hAnsi="Museo Sans 300" w:cstheme="minorHAnsi"/>
              <w:sz w:val="22"/>
              <w:szCs w:val="22"/>
            </w:rPr>
            <w:instrText xml:space="preserve"> TOC \o "1-3" \h \z \u </w:instrText>
          </w:r>
          <w:r w:rsidRPr="0001362C">
            <w:rPr>
              <w:rFonts w:ascii="Museo Sans 300" w:hAnsi="Museo Sans 300" w:cstheme="minorHAnsi"/>
              <w:sz w:val="22"/>
              <w:szCs w:val="22"/>
            </w:rPr>
            <w:fldChar w:fldCharType="separate"/>
          </w:r>
          <w:hyperlink w:anchor="_Toc205889698" w:history="1">
            <w:r w:rsidR="00876BA9" w:rsidRPr="00171A28">
              <w:rPr>
                <w:rStyle w:val="Hipervnculo"/>
                <w:rFonts w:ascii="Museo Sans 300" w:hAnsi="Museo Sans 300" w:cstheme="minorHAnsi"/>
                <w:noProof/>
                <w:lang w:val="es-MX"/>
              </w:rPr>
              <w:t>RESUMEN EJECUTIVO</w:t>
            </w:r>
            <w:r w:rsidR="00876BA9">
              <w:rPr>
                <w:noProof/>
                <w:webHidden/>
              </w:rPr>
              <w:tab/>
            </w:r>
            <w:r w:rsidR="00876BA9">
              <w:rPr>
                <w:noProof/>
                <w:webHidden/>
              </w:rPr>
              <w:fldChar w:fldCharType="begin"/>
            </w:r>
            <w:r w:rsidR="00876BA9">
              <w:rPr>
                <w:noProof/>
                <w:webHidden/>
              </w:rPr>
              <w:instrText xml:space="preserve"> PAGEREF _Toc205889698 \h </w:instrText>
            </w:r>
            <w:r w:rsidR="00876BA9">
              <w:rPr>
                <w:noProof/>
                <w:webHidden/>
              </w:rPr>
            </w:r>
            <w:r w:rsidR="00876BA9">
              <w:rPr>
                <w:noProof/>
                <w:webHidden/>
              </w:rPr>
              <w:fldChar w:fldCharType="separate"/>
            </w:r>
            <w:r w:rsidR="00C33E69">
              <w:rPr>
                <w:noProof/>
                <w:webHidden/>
              </w:rPr>
              <w:t>3</w:t>
            </w:r>
            <w:r w:rsidR="00876BA9">
              <w:rPr>
                <w:noProof/>
                <w:webHidden/>
              </w:rPr>
              <w:fldChar w:fldCharType="end"/>
            </w:r>
          </w:hyperlink>
        </w:p>
        <w:p w14:paraId="239DF4BE" w14:textId="5811E4C0" w:rsidR="00876BA9" w:rsidRDefault="00CF1905">
          <w:pPr>
            <w:pStyle w:val="TDC2"/>
            <w:tabs>
              <w:tab w:val="right" w:leader="dot" w:pos="8832"/>
            </w:tabs>
            <w:rPr>
              <w:rFonts w:eastAsiaTheme="minorEastAsia" w:cstheme="minorBidi"/>
              <w:noProof/>
              <w:sz w:val="22"/>
              <w:szCs w:val="22"/>
              <w:lang w:val="es-SV" w:eastAsia="es-SV"/>
            </w:rPr>
          </w:pPr>
          <w:hyperlink w:anchor="_Toc205889699" w:history="1">
            <w:r w:rsidR="00876BA9" w:rsidRPr="00171A28">
              <w:rPr>
                <w:rStyle w:val="Hipervnculo"/>
                <w:rFonts w:ascii="Museo Sans 300" w:hAnsi="Museo Sans 300" w:cstheme="minorHAnsi"/>
                <w:noProof/>
                <w:lang w:val="es-MX"/>
              </w:rPr>
              <w:t>I.  La ejecución financiera del Sector Público No Financiero (SPNF) a marzo 2025</w:t>
            </w:r>
            <w:r w:rsidR="00876BA9">
              <w:rPr>
                <w:noProof/>
                <w:webHidden/>
              </w:rPr>
              <w:tab/>
            </w:r>
            <w:r w:rsidR="00876BA9">
              <w:rPr>
                <w:noProof/>
                <w:webHidden/>
              </w:rPr>
              <w:fldChar w:fldCharType="begin"/>
            </w:r>
            <w:r w:rsidR="00876BA9">
              <w:rPr>
                <w:noProof/>
                <w:webHidden/>
              </w:rPr>
              <w:instrText xml:space="preserve"> PAGEREF _Toc205889699 \h </w:instrText>
            </w:r>
            <w:r w:rsidR="00876BA9">
              <w:rPr>
                <w:noProof/>
                <w:webHidden/>
              </w:rPr>
            </w:r>
            <w:r w:rsidR="00876BA9">
              <w:rPr>
                <w:noProof/>
                <w:webHidden/>
              </w:rPr>
              <w:fldChar w:fldCharType="separate"/>
            </w:r>
            <w:r w:rsidR="00C33E69">
              <w:rPr>
                <w:noProof/>
                <w:webHidden/>
              </w:rPr>
              <w:t>3</w:t>
            </w:r>
            <w:r w:rsidR="00876BA9">
              <w:rPr>
                <w:noProof/>
                <w:webHidden/>
              </w:rPr>
              <w:fldChar w:fldCharType="end"/>
            </w:r>
          </w:hyperlink>
        </w:p>
        <w:p w14:paraId="7DC2EE78" w14:textId="1E6477B8" w:rsidR="00876BA9" w:rsidRDefault="00CF1905">
          <w:pPr>
            <w:pStyle w:val="TDC1"/>
            <w:tabs>
              <w:tab w:val="right" w:leader="dot" w:pos="8832"/>
            </w:tabs>
            <w:rPr>
              <w:rFonts w:eastAsiaTheme="minorEastAsia" w:cstheme="minorBidi"/>
              <w:noProof/>
              <w:sz w:val="22"/>
              <w:szCs w:val="22"/>
              <w:lang w:val="es-SV" w:eastAsia="es-SV"/>
            </w:rPr>
          </w:pPr>
          <w:hyperlink w:anchor="_Toc205889700" w:history="1">
            <w:r w:rsidR="00876BA9" w:rsidRPr="00171A28">
              <w:rPr>
                <w:rStyle w:val="Hipervnculo"/>
                <w:rFonts w:ascii="Museo Sans 300" w:hAnsi="Museo Sans 300" w:cstheme="minorHAnsi"/>
                <w:noProof/>
              </w:rPr>
              <w:t>GESTIÓN DE LAS FINANZAS PÚBLICAS</w:t>
            </w:r>
            <w:r w:rsidR="00876BA9">
              <w:rPr>
                <w:noProof/>
                <w:webHidden/>
              </w:rPr>
              <w:tab/>
            </w:r>
            <w:r w:rsidR="00876BA9">
              <w:rPr>
                <w:noProof/>
                <w:webHidden/>
              </w:rPr>
              <w:fldChar w:fldCharType="begin"/>
            </w:r>
            <w:r w:rsidR="00876BA9">
              <w:rPr>
                <w:noProof/>
                <w:webHidden/>
              </w:rPr>
              <w:instrText xml:space="preserve"> PAGEREF _Toc205889700 \h </w:instrText>
            </w:r>
            <w:r w:rsidR="00876BA9">
              <w:rPr>
                <w:noProof/>
                <w:webHidden/>
              </w:rPr>
            </w:r>
            <w:r w:rsidR="00876BA9">
              <w:rPr>
                <w:noProof/>
                <w:webHidden/>
              </w:rPr>
              <w:fldChar w:fldCharType="separate"/>
            </w:r>
            <w:r w:rsidR="00C33E69">
              <w:rPr>
                <w:noProof/>
                <w:webHidden/>
              </w:rPr>
              <w:t>5</w:t>
            </w:r>
            <w:r w:rsidR="00876BA9">
              <w:rPr>
                <w:noProof/>
                <w:webHidden/>
              </w:rPr>
              <w:fldChar w:fldCharType="end"/>
            </w:r>
          </w:hyperlink>
        </w:p>
        <w:p w14:paraId="3A435C71" w14:textId="47A3D863" w:rsidR="00876BA9" w:rsidRDefault="00CF1905">
          <w:pPr>
            <w:pStyle w:val="TDC2"/>
            <w:tabs>
              <w:tab w:val="right" w:leader="dot" w:pos="8832"/>
            </w:tabs>
            <w:rPr>
              <w:rFonts w:eastAsiaTheme="minorEastAsia" w:cstheme="minorBidi"/>
              <w:noProof/>
              <w:sz w:val="22"/>
              <w:szCs w:val="22"/>
              <w:lang w:val="es-SV" w:eastAsia="es-SV"/>
            </w:rPr>
          </w:pPr>
          <w:hyperlink w:anchor="_Toc205889701" w:history="1">
            <w:r w:rsidR="00876BA9" w:rsidRPr="00171A28">
              <w:rPr>
                <w:rStyle w:val="Hipervnculo"/>
                <w:rFonts w:ascii="Museo Sans 300" w:hAnsi="Museo Sans 300" w:cstheme="minorHAnsi"/>
                <w:noProof/>
                <w:lang w:val="es-MX"/>
              </w:rPr>
              <w:t>1. Ingresos Totales del SPNF</w:t>
            </w:r>
            <w:r w:rsidR="00876BA9">
              <w:rPr>
                <w:noProof/>
                <w:webHidden/>
              </w:rPr>
              <w:tab/>
            </w:r>
            <w:r w:rsidR="00876BA9">
              <w:rPr>
                <w:noProof/>
                <w:webHidden/>
              </w:rPr>
              <w:fldChar w:fldCharType="begin"/>
            </w:r>
            <w:r w:rsidR="00876BA9">
              <w:rPr>
                <w:noProof/>
                <w:webHidden/>
              </w:rPr>
              <w:instrText xml:space="preserve"> PAGEREF _Toc205889701 \h </w:instrText>
            </w:r>
            <w:r w:rsidR="00876BA9">
              <w:rPr>
                <w:noProof/>
                <w:webHidden/>
              </w:rPr>
            </w:r>
            <w:r w:rsidR="00876BA9">
              <w:rPr>
                <w:noProof/>
                <w:webHidden/>
              </w:rPr>
              <w:fldChar w:fldCharType="separate"/>
            </w:r>
            <w:r w:rsidR="00C33E69">
              <w:rPr>
                <w:noProof/>
                <w:webHidden/>
              </w:rPr>
              <w:t>5</w:t>
            </w:r>
            <w:r w:rsidR="00876BA9">
              <w:rPr>
                <w:noProof/>
                <w:webHidden/>
              </w:rPr>
              <w:fldChar w:fldCharType="end"/>
            </w:r>
          </w:hyperlink>
        </w:p>
        <w:p w14:paraId="453E35CA" w14:textId="7050847C" w:rsidR="00876BA9" w:rsidRDefault="00CF1905">
          <w:pPr>
            <w:pStyle w:val="TDC3"/>
            <w:tabs>
              <w:tab w:val="right" w:leader="dot" w:pos="8832"/>
            </w:tabs>
            <w:rPr>
              <w:rFonts w:eastAsiaTheme="minorEastAsia" w:cstheme="minorBidi"/>
              <w:noProof/>
              <w:sz w:val="22"/>
              <w:szCs w:val="22"/>
              <w:lang w:val="es-SV" w:eastAsia="es-SV"/>
            </w:rPr>
          </w:pPr>
          <w:hyperlink w:anchor="_Toc205889702" w:history="1">
            <w:r w:rsidR="00876BA9" w:rsidRPr="00171A28">
              <w:rPr>
                <w:rStyle w:val="Hipervnculo"/>
                <w:rFonts w:ascii="Museo Sans 300" w:hAnsi="Museo Sans 300" w:cstheme="minorHAnsi"/>
                <w:noProof/>
                <w:lang w:val="es-MX"/>
              </w:rPr>
              <w:t>1.1 Ingresos Tributarios y Contribuciones Especiales</w:t>
            </w:r>
            <w:r w:rsidR="00876BA9">
              <w:rPr>
                <w:noProof/>
                <w:webHidden/>
              </w:rPr>
              <w:tab/>
            </w:r>
            <w:r w:rsidR="00876BA9">
              <w:rPr>
                <w:noProof/>
                <w:webHidden/>
              </w:rPr>
              <w:fldChar w:fldCharType="begin"/>
            </w:r>
            <w:r w:rsidR="00876BA9">
              <w:rPr>
                <w:noProof/>
                <w:webHidden/>
              </w:rPr>
              <w:instrText xml:space="preserve"> PAGEREF _Toc205889702 \h </w:instrText>
            </w:r>
            <w:r w:rsidR="00876BA9">
              <w:rPr>
                <w:noProof/>
                <w:webHidden/>
              </w:rPr>
            </w:r>
            <w:r w:rsidR="00876BA9">
              <w:rPr>
                <w:noProof/>
                <w:webHidden/>
              </w:rPr>
              <w:fldChar w:fldCharType="separate"/>
            </w:r>
            <w:r w:rsidR="00C33E69">
              <w:rPr>
                <w:noProof/>
                <w:webHidden/>
              </w:rPr>
              <w:t>5</w:t>
            </w:r>
            <w:r w:rsidR="00876BA9">
              <w:rPr>
                <w:noProof/>
                <w:webHidden/>
              </w:rPr>
              <w:fldChar w:fldCharType="end"/>
            </w:r>
          </w:hyperlink>
        </w:p>
        <w:p w14:paraId="7EA25EF2" w14:textId="4195B6CB" w:rsidR="00876BA9" w:rsidRDefault="00CF1905">
          <w:pPr>
            <w:pStyle w:val="TDC3"/>
            <w:tabs>
              <w:tab w:val="right" w:leader="dot" w:pos="8832"/>
            </w:tabs>
            <w:rPr>
              <w:rFonts w:eastAsiaTheme="minorEastAsia" w:cstheme="minorBidi"/>
              <w:noProof/>
              <w:sz w:val="22"/>
              <w:szCs w:val="22"/>
              <w:lang w:val="es-SV" w:eastAsia="es-SV"/>
            </w:rPr>
          </w:pPr>
          <w:hyperlink w:anchor="_Toc205889703" w:history="1">
            <w:r w:rsidR="00876BA9" w:rsidRPr="00171A28">
              <w:rPr>
                <w:rStyle w:val="Hipervnculo"/>
                <w:rFonts w:ascii="Museo Sans 300" w:hAnsi="Museo Sans 300" w:cstheme="minorHAnsi"/>
                <w:noProof/>
                <w:lang w:val="es-MX"/>
              </w:rPr>
              <w:t>1.2 Ingresos no Tributarios</w:t>
            </w:r>
            <w:r w:rsidR="00876BA9">
              <w:rPr>
                <w:noProof/>
                <w:webHidden/>
              </w:rPr>
              <w:tab/>
            </w:r>
            <w:r w:rsidR="00876BA9">
              <w:rPr>
                <w:noProof/>
                <w:webHidden/>
              </w:rPr>
              <w:fldChar w:fldCharType="begin"/>
            </w:r>
            <w:r w:rsidR="00876BA9">
              <w:rPr>
                <w:noProof/>
                <w:webHidden/>
              </w:rPr>
              <w:instrText xml:space="preserve"> PAGEREF _Toc205889703 \h </w:instrText>
            </w:r>
            <w:r w:rsidR="00876BA9">
              <w:rPr>
                <w:noProof/>
                <w:webHidden/>
              </w:rPr>
            </w:r>
            <w:r w:rsidR="00876BA9">
              <w:rPr>
                <w:noProof/>
                <w:webHidden/>
              </w:rPr>
              <w:fldChar w:fldCharType="separate"/>
            </w:r>
            <w:r w:rsidR="00C33E69">
              <w:rPr>
                <w:noProof/>
                <w:webHidden/>
              </w:rPr>
              <w:t>9</w:t>
            </w:r>
            <w:r w:rsidR="00876BA9">
              <w:rPr>
                <w:noProof/>
                <w:webHidden/>
              </w:rPr>
              <w:fldChar w:fldCharType="end"/>
            </w:r>
          </w:hyperlink>
        </w:p>
        <w:p w14:paraId="36215E94" w14:textId="32FE05F4" w:rsidR="00876BA9" w:rsidRDefault="00CF1905">
          <w:pPr>
            <w:pStyle w:val="TDC2"/>
            <w:tabs>
              <w:tab w:val="right" w:leader="dot" w:pos="8832"/>
            </w:tabs>
            <w:rPr>
              <w:rFonts w:eastAsiaTheme="minorEastAsia" w:cstheme="minorBidi"/>
              <w:noProof/>
              <w:sz w:val="22"/>
              <w:szCs w:val="22"/>
              <w:lang w:val="es-SV" w:eastAsia="es-SV"/>
            </w:rPr>
          </w:pPr>
          <w:hyperlink w:anchor="_Toc205889704" w:history="1">
            <w:r w:rsidR="00876BA9" w:rsidRPr="00171A28">
              <w:rPr>
                <w:rStyle w:val="Hipervnculo"/>
                <w:rFonts w:ascii="Museo Sans 300" w:hAnsi="Museo Sans 300" w:cstheme="minorHAnsi"/>
                <w:noProof/>
                <w:lang w:val="es-MX"/>
              </w:rPr>
              <w:t xml:space="preserve">2. Gastos del Sector Público No Financiero </w:t>
            </w:r>
            <w:r w:rsidR="00876BA9">
              <w:rPr>
                <w:noProof/>
                <w:webHidden/>
              </w:rPr>
              <w:tab/>
            </w:r>
            <w:r w:rsidR="00876BA9">
              <w:rPr>
                <w:noProof/>
                <w:webHidden/>
              </w:rPr>
              <w:fldChar w:fldCharType="begin"/>
            </w:r>
            <w:r w:rsidR="00876BA9">
              <w:rPr>
                <w:noProof/>
                <w:webHidden/>
              </w:rPr>
              <w:instrText xml:space="preserve"> PAGEREF _Toc205889704 \h </w:instrText>
            </w:r>
            <w:r w:rsidR="00876BA9">
              <w:rPr>
                <w:noProof/>
                <w:webHidden/>
              </w:rPr>
            </w:r>
            <w:r w:rsidR="00876BA9">
              <w:rPr>
                <w:noProof/>
                <w:webHidden/>
              </w:rPr>
              <w:fldChar w:fldCharType="separate"/>
            </w:r>
            <w:r w:rsidR="00C33E69">
              <w:rPr>
                <w:noProof/>
                <w:webHidden/>
              </w:rPr>
              <w:t>9</w:t>
            </w:r>
            <w:r w:rsidR="00876BA9">
              <w:rPr>
                <w:noProof/>
                <w:webHidden/>
              </w:rPr>
              <w:fldChar w:fldCharType="end"/>
            </w:r>
          </w:hyperlink>
        </w:p>
        <w:p w14:paraId="39362690" w14:textId="1F4816FD" w:rsidR="00876BA9" w:rsidRDefault="00CF1905">
          <w:pPr>
            <w:pStyle w:val="TDC3"/>
            <w:tabs>
              <w:tab w:val="right" w:leader="dot" w:pos="8832"/>
            </w:tabs>
            <w:rPr>
              <w:rFonts w:eastAsiaTheme="minorEastAsia" w:cstheme="minorBidi"/>
              <w:noProof/>
              <w:sz w:val="22"/>
              <w:szCs w:val="22"/>
              <w:lang w:val="es-SV" w:eastAsia="es-SV"/>
            </w:rPr>
          </w:pPr>
          <w:hyperlink w:anchor="_Toc205889705" w:history="1">
            <w:r w:rsidR="00876BA9" w:rsidRPr="00171A28">
              <w:rPr>
                <w:rStyle w:val="Hipervnculo"/>
                <w:rFonts w:ascii="Museo Sans 300" w:hAnsi="Museo Sans 300" w:cstheme="minorHAnsi"/>
                <w:noProof/>
                <w:lang w:val="es-MX"/>
              </w:rPr>
              <w:t>Fuente: Ministerio de Hacienda</w:t>
            </w:r>
            <w:r w:rsidR="00876BA9">
              <w:rPr>
                <w:noProof/>
                <w:webHidden/>
              </w:rPr>
              <w:tab/>
            </w:r>
            <w:r w:rsidR="00876BA9">
              <w:rPr>
                <w:noProof/>
                <w:webHidden/>
              </w:rPr>
              <w:fldChar w:fldCharType="begin"/>
            </w:r>
            <w:r w:rsidR="00876BA9">
              <w:rPr>
                <w:noProof/>
                <w:webHidden/>
              </w:rPr>
              <w:instrText xml:space="preserve"> PAGEREF _Toc205889705 \h </w:instrText>
            </w:r>
            <w:r w:rsidR="00876BA9">
              <w:rPr>
                <w:noProof/>
                <w:webHidden/>
              </w:rPr>
            </w:r>
            <w:r w:rsidR="00876BA9">
              <w:rPr>
                <w:noProof/>
                <w:webHidden/>
              </w:rPr>
              <w:fldChar w:fldCharType="separate"/>
            </w:r>
            <w:r w:rsidR="00C33E69">
              <w:rPr>
                <w:noProof/>
                <w:webHidden/>
              </w:rPr>
              <w:t>9</w:t>
            </w:r>
            <w:r w:rsidR="00876BA9">
              <w:rPr>
                <w:noProof/>
                <w:webHidden/>
              </w:rPr>
              <w:fldChar w:fldCharType="end"/>
            </w:r>
          </w:hyperlink>
        </w:p>
        <w:p w14:paraId="6D723122" w14:textId="3384010A" w:rsidR="00876BA9" w:rsidRDefault="00CF1905">
          <w:pPr>
            <w:pStyle w:val="TDC3"/>
            <w:tabs>
              <w:tab w:val="right" w:leader="dot" w:pos="8832"/>
            </w:tabs>
            <w:rPr>
              <w:rFonts w:eastAsiaTheme="minorEastAsia" w:cstheme="minorBidi"/>
              <w:noProof/>
              <w:sz w:val="22"/>
              <w:szCs w:val="22"/>
              <w:lang w:val="es-SV" w:eastAsia="es-SV"/>
            </w:rPr>
          </w:pPr>
          <w:hyperlink w:anchor="_Toc205889706" w:history="1">
            <w:r w:rsidR="00876BA9" w:rsidRPr="00171A28">
              <w:rPr>
                <w:rStyle w:val="Hipervnculo"/>
                <w:rFonts w:ascii="Museo Sans 300" w:hAnsi="Museo Sans 300" w:cstheme="minorHAnsi"/>
                <w:noProof/>
                <w:lang w:val="es-MX"/>
              </w:rPr>
              <w:t>2.1 Gastos corrientes</w:t>
            </w:r>
            <w:r w:rsidR="00876BA9">
              <w:rPr>
                <w:noProof/>
                <w:webHidden/>
              </w:rPr>
              <w:tab/>
            </w:r>
            <w:r w:rsidR="00876BA9">
              <w:rPr>
                <w:noProof/>
                <w:webHidden/>
              </w:rPr>
              <w:fldChar w:fldCharType="begin"/>
            </w:r>
            <w:r w:rsidR="00876BA9">
              <w:rPr>
                <w:noProof/>
                <w:webHidden/>
              </w:rPr>
              <w:instrText xml:space="preserve"> PAGEREF _Toc205889706 \h </w:instrText>
            </w:r>
            <w:r w:rsidR="00876BA9">
              <w:rPr>
                <w:noProof/>
                <w:webHidden/>
              </w:rPr>
            </w:r>
            <w:r w:rsidR="00876BA9">
              <w:rPr>
                <w:noProof/>
                <w:webHidden/>
              </w:rPr>
              <w:fldChar w:fldCharType="separate"/>
            </w:r>
            <w:r w:rsidR="00C33E69">
              <w:rPr>
                <w:noProof/>
                <w:webHidden/>
              </w:rPr>
              <w:t>9</w:t>
            </w:r>
            <w:r w:rsidR="00876BA9">
              <w:rPr>
                <w:noProof/>
                <w:webHidden/>
              </w:rPr>
              <w:fldChar w:fldCharType="end"/>
            </w:r>
          </w:hyperlink>
        </w:p>
        <w:p w14:paraId="50D3E8DA" w14:textId="3734EE66" w:rsidR="00876BA9" w:rsidRDefault="00CF1905">
          <w:pPr>
            <w:pStyle w:val="TDC3"/>
            <w:tabs>
              <w:tab w:val="right" w:leader="dot" w:pos="8832"/>
            </w:tabs>
            <w:rPr>
              <w:rFonts w:eastAsiaTheme="minorEastAsia" w:cstheme="minorBidi"/>
              <w:noProof/>
              <w:sz w:val="22"/>
              <w:szCs w:val="22"/>
              <w:lang w:val="es-SV" w:eastAsia="es-SV"/>
            </w:rPr>
          </w:pPr>
          <w:hyperlink w:anchor="_Toc205889707" w:history="1">
            <w:r w:rsidR="00876BA9" w:rsidRPr="00171A28">
              <w:rPr>
                <w:rStyle w:val="Hipervnculo"/>
                <w:rFonts w:ascii="Museo Sans 300" w:hAnsi="Museo Sans 300" w:cstheme="minorHAnsi"/>
                <w:i/>
                <w:noProof/>
                <w:lang w:val="es-MX"/>
              </w:rPr>
              <w:t>2.2 Gasto de Capital</w:t>
            </w:r>
            <w:r w:rsidR="00876BA9">
              <w:rPr>
                <w:noProof/>
                <w:webHidden/>
              </w:rPr>
              <w:tab/>
            </w:r>
            <w:r w:rsidR="00876BA9">
              <w:rPr>
                <w:noProof/>
                <w:webHidden/>
              </w:rPr>
              <w:fldChar w:fldCharType="begin"/>
            </w:r>
            <w:r w:rsidR="00876BA9">
              <w:rPr>
                <w:noProof/>
                <w:webHidden/>
              </w:rPr>
              <w:instrText xml:space="preserve"> PAGEREF _Toc205889707 \h </w:instrText>
            </w:r>
            <w:r w:rsidR="00876BA9">
              <w:rPr>
                <w:noProof/>
                <w:webHidden/>
              </w:rPr>
            </w:r>
            <w:r w:rsidR="00876BA9">
              <w:rPr>
                <w:noProof/>
                <w:webHidden/>
              </w:rPr>
              <w:fldChar w:fldCharType="separate"/>
            </w:r>
            <w:r w:rsidR="00C33E69">
              <w:rPr>
                <w:noProof/>
                <w:webHidden/>
              </w:rPr>
              <w:t>11</w:t>
            </w:r>
            <w:r w:rsidR="00876BA9">
              <w:rPr>
                <w:noProof/>
                <w:webHidden/>
              </w:rPr>
              <w:fldChar w:fldCharType="end"/>
            </w:r>
          </w:hyperlink>
        </w:p>
        <w:p w14:paraId="6C98C4A4" w14:textId="1BB62909" w:rsidR="00876BA9" w:rsidRDefault="00CF1905">
          <w:pPr>
            <w:pStyle w:val="TDC3"/>
            <w:tabs>
              <w:tab w:val="right" w:leader="dot" w:pos="8832"/>
            </w:tabs>
            <w:rPr>
              <w:rFonts w:eastAsiaTheme="minorEastAsia" w:cstheme="minorBidi"/>
              <w:noProof/>
              <w:sz w:val="22"/>
              <w:szCs w:val="22"/>
              <w:lang w:val="es-SV" w:eastAsia="es-SV"/>
            </w:rPr>
          </w:pPr>
          <w:hyperlink w:anchor="_Toc205889708" w:history="1">
            <w:r w:rsidR="00876BA9" w:rsidRPr="00171A28">
              <w:rPr>
                <w:rStyle w:val="Hipervnculo"/>
                <w:rFonts w:ascii="Museo Sans 300" w:hAnsi="Museo Sans 300" w:cstheme="minorHAnsi"/>
                <w:noProof/>
                <w:lang w:val="es-MX"/>
              </w:rPr>
              <w:t>3.1 Deuda Interna</w:t>
            </w:r>
            <w:r w:rsidR="00876BA9">
              <w:rPr>
                <w:noProof/>
                <w:webHidden/>
              </w:rPr>
              <w:tab/>
            </w:r>
            <w:r w:rsidR="00876BA9">
              <w:rPr>
                <w:noProof/>
                <w:webHidden/>
              </w:rPr>
              <w:fldChar w:fldCharType="begin"/>
            </w:r>
            <w:r w:rsidR="00876BA9">
              <w:rPr>
                <w:noProof/>
                <w:webHidden/>
              </w:rPr>
              <w:instrText xml:space="preserve"> PAGEREF _Toc205889708 \h </w:instrText>
            </w:r>
            <w:r w:rsidR="00876BA9">
              <w:rPr>
                <w:noProof/>
                <w:webHidden/>
              </w:rPr>
            </w:r>
            <w:r w:rsidR="00876BA9">
              <w:rPr>
                <w:noProof/>
                <w:webHidden/>
              </w:rPr>
              <w:fldChar w:fldCharType="separate"/>
            </w:r>
            <w:r w:rsidR="00C33E69">
              <w:rPr>
                <w:noProof/>
                <w:webHidden/>
              </w:rPr>
              <w:t>15</w:t>
            </w:r>
            <w:r w:rsidR="00876BA9">
              <w:rPr>
                <w:noProof/>
                <w:webHidden/>
              </w:rPr>
              <w:fldChar w:fldCharType="end"/>
            </w:r>
          </w:hyperlink>
        </w:p>
        <w:p w14:paraId="3BBCB26D" w14:textId="5C4847AF" w:rsidR="00876BA9" w:rsidRDefault="00CF1905">
          <w:pPr>
            <w:pStyle w:val="TDC3"/>
            <w:tabs>
              <w:tab w:val="right" w:leader="dot" w:pos="8832"/>
            </w:tabs>
            <w:rPr>
              <w:rFonts w:eastAsiaTheme="minorEastAsia" w:cstheme="minorBidi"/>
              <w:noProof/>
              <w:sz w:val="22"/>
              <w:szCs w:val="22"/>
              <w:lang w:val="es-SV" w:eastAsia="es-SV"/>
            </w:rPr>
          </w:pPr>
          <w:hyperlink w:anchor="_Toc205889709" w:history="1">
            <w:r w:rsidR="00876BA9" w:rsidRPr="00171A28">
              <w:rPr>
                <w:rStyle w:val="Hipervnculo"/>
                <w:rFonts w:ascii="Museo Sans 300" w:hAnsi="Museo Sans 300" w:cstheme="minorHAnsi"/>
                <w:noProof/>
                <w:lang w:val="es-MX"/>
              </w:rPr>
              <w:t>3.2 Deuda externa</w:t>
            </w:r>
            <w:r w:rsidR="00876BA9">
              <w:rPr>
                <w:noProof/>
                <w:webHidden/>
              </w:rPr>
              <w:tab/>
            </w:r>
            <w:r w:rsidR="00876BA9">
              <w:rPr>
                <w:noProof/>
                <w:webHidden/>
              </w:rPr>
              <w:fldChar w:fldCharType="begin"/>
            </w:r>
            <w:r w:rsidR="00876BA9">
              <w:rPr>
                <w:noProof/>
                <w:webHidden/>
              </w:rPr>
              <w:instrText xml:space="preserve"> PAGEREF _Toc205889709 \h </w:instrText>
            </w:r>
            <w:r w:rsidR="00876BA9">
              <w:rPr>
                <w:noProof/>
                <w:webHidden/>
              </w:rPr>
            </w:r>
            <w:r w:rsidR="00876BA9">
              <w:rPr>
                <w:noProof/>
                <w:webHidden/>
              </w:rPr>
              <w:fldChar w:fldCharType="separate"/>
            </w:r>
            <w:r w:rsidR="00C33E69">
              <w:rPr>
                <w:noProof/>
                <w:webHidden/>
              </w:rPr>
              <w:t>15</w:t>
            </w:r>
            <w:r w:rsidR="00876BA9">
              <w:rPr>
                <w:noProof/>
                <w:webHidden/>
              </w:rPr>
              <w:fldChar w:fldCharType="end"/>
            </w:r>
          </w:hyperlink>
        </w:p>
        <w:p w14:paraId="5115DA56" w14:textId="119E5F6A" w:rsidR="00876BA9" w:rsidRDefault="00CF1905">
          <w:pPr>
            <w:pStyle w:val="TDC3"/>
            <w:tabs>
              <w:tab w:val="right" w:leader="dot" w:pos="8832"/>
            </w:tabs>
            <w:rPr>
              <w:rFonts w:eastAsiaTheme="minorEastAsia" w:cstheme="minorBidi"/>
              <w:noProof/>
              <w:sz w:val="22"/>
              <w:szCs w:val="22"/>
              <w:lang w:val="es-SV" w:eastAsia="es-SV"/>
            </w:rPr>
          </w:pPr>
          <w:hyperlink w:anchor="_Toc205889710" w:history="1">
            <w:r w:rsidR="00876BA9" w:rsidRPr="00171A28">
              <w:rPr>
                <w:rStyle w:val="Hipervnculo"/>
                <w:rFonts w:ascii="Museo Sans 300" w:hAnsi="Museo Sans 300" w:cstheme="minorHAnsi"/>
                <w:noProof/>
                <w:lang w:val="es-MX"/>
              </w:rPr>
              <w:t>3.3 Servicio de la deuda del SPNF</w:t>
            </w:r>
            <w:r w:rsidR="00876BA9">
              <w:rPr>
                <w:noProof/>
                <w:webHidden/>
              </w:rPr>
              <w:tab/>
            </w:r>
            <w:r w:rsidR="00876BA9">
              <w:rPr>
                <w:noProof/>
                <w:webHidden/>
              </w:rPr>
              <w:fldChar w:fldCharType="begin"/>
            </w:r>
            <w:r w:rsidR="00876BA9">
              <w:rPr>
                <w:noProof/>
                <w:webHidden/>
              </w:rPr>
              <w:instrText xml:space="preserve"> PAGEREF _Toc205889710 \h </w:instrText>
            </w:r>
            <w:r w:rsidR="00876BA9">
              <w:rPr>
                <w:noProof/>
                <w:webHidden/>
              </w:rPr>
            </w:r>
            <w:r w:rsidR="00876BA9">
              <w:rPr>
                <w:noProof/>
                <w:webHidden/>
              </w:rPr>
              <w:fldChar w:fldCharType="separate"/>
            </w:r>
            <w:r w:rsidR="00C33E69">
              <w:rPr>
                <w:noProof/>
                <w:webHidden/>
              </w:rPr>
              <w:t>16</w:t>
            </w:r>
            <w:r w:rsidR="00876BA9">
              <w:rPr>
                <w:noProof/>
                <w:webHidden/>
              </w:rPr>
              <w:fldChar w:fldCharType="end"/>
            </w:r>
          </w:hyperlink>
        </w:p>
        <w:p w14:paraId="4E65EDCF" w14:textId="53C13DA4" w:rsidR="00876BA9" w:rsidRDefault="00CF1905">
          <w:pPr>
            <w:pStyle w:val="TDC2"/>
            <w:tabs>
              <w:tab w:val="right" w:leader="dot" w:pos="8832"/>
            </w:tabs>
            <w:rPr>
              <w:rFonts w:eastAsiaTheme="minorEastAsia" w:cstheme="minorBidi"/>
              <w:noProof/>
              <w:sz w:val="22"/>
              <w:szCs w:val="22"/>
              <w:lang w:val="es-SV" w:eastAsia="es-SV"/>
            </w:rPr>
          </w:pPr>
          <w:hyperlink w:anchor="_Toc205889711" w:history="1">
            <w:r w:rsidR="00876BA9" w:rsidRPr="00171A28">
              <w:rPr>
                <w:rStyle w:val="Hipervnculo"/>
                <w:rFonts w:ascii="Museo Sans 300" w:hAnsi="Museo Sans 300" w:cstheme="minorHAnsi"/>
                <w:noProof/>
                <w:lang w:val="es-MX"/>
              </w:rPr>
              <w:t>4. Resultados Globales del SPNF</w:t>
            </w:r>
            <w:r w:rsidR="00876BA9">
              <w:rPr>
                <w:noProof/>
                <w:webHidden/>
              </w:rPr>
              <w:tab/>
            </w:r>
            <w:r w:rsidR="00876BA9">
              <w:rPr>
                <w:noProof/>
                <w:webHidden/>
              </w:rPr>
              <w:fldChar w:fldCharType="begin"/>
            </w:r>
            <w:r w:rsidR="00876BA9">
              <w:rPr>
                <w:noProof/>
                <w:webHidden/>
              </w:rPr>
              <w:instrText xml:space="preserve"> PAGEREF _Toc205889711 \h </w:instrText>
            </w:r>
            <w:r w:rsidR="00876BA9">
              <w:rPr>
                <w:noProof/>
                <w:webHidden/>
              </w:rPr>
            </w:r>
            <w:r w:rsidR="00876BA9">
              <w:rPr>
                <w:noProof/>
                <w:webHidden/>
              </w:rPr>
              <w:fldChar w:fldCharType="separate"/>
            </w:r>
            <w:r w:rsidR="00C33E69">
              <w:rPr>
                <w:noProof/>
                <w:webHidden/>
              </w:rPr>
              <w:t>17</w:t>
            </w:r>
            <w:r w:rsidR="00876BA9">
              <w:rPr>
                <w:noProof/>
                <w:webHidden/>
              </w:rPr>
              <w:fldChar w:fldCharType="end"/>
            </w:r>
          </w:hyperlink>
        </w:p>
        <w:p w14:paraId="3760EC80" w14:textId="7945CEC4" w:rsidR="00876BA9" w:rsidRDefault="00CF1905">
          <w:pPr>
            <w:pStyle w:val="TDC3"/>
            <w:tabs>
              <w:tab w:val="right" w:leader="dot" w:pos="8832"/>
            </w:tabs>
            <w:rPr>
              <w:rFonts w:eastAsiaTheme="minorEastAsia" w:cstheme="minorBidi"/>
              <w:noProof/>
              <w:sz w:val="22"/>
              <w:szCs w:val="22"/>
              <w:lang w:val="es-SV" w:eastAsia="es-SV"/>
            </w:rPr>
          </w:pPr>
          <w:hyperlink w:anchor="_Toc205889712" w:history="1">
            <w:r w:rsidR="00876BA9" w:rsidRPr="00171A28">
              <w:rPr>
                <w:rStyle w:val="Hipervnculo"/>
                <w:rFonts w:ascii="Museo Sans 300" w:hAnsi="Museo Sans 300" w:cstheme="minorHAnsi"/>
                <w:noProof/>
              </w:rPr>
              <w:t>4.1 Balance Primario</w:t>
            </w:r>
            <w:r w:rsidR="00876BA9">
              <w:rPr>
                <w:noProof/>
                <w:webHidden/>
              </w:rPr>
              <w:tab/>
            </w:r>
            <w:r w:rsidR="00876BA9">
              <w:rPr>
                <w:noProof/>
                <w:webHidden/>
              </w:rPr>
              <w:fldChar w:fldCharType="begin"/>
            </w:r>
            <w:r w:rsidR="00876BA9">
              <w:rPr>
                <w:noProof/>
                <w:webHidden/>
              </w:rPr>
              <w:instrText xml:space="preserve"> PAGEREF _Toc205889712 \h </w:instrText>
            </w:r>
            <w:r w:rsidR="00876BA9">
              <w:rPr>
                <w:noProof/>
                <w:webHidden/>
              </w:rPr>
            </w:r>
            <w:r w:rsidR="00876BA9">
              <w:rPr>
                <w:noProof/>
                <w:webHidden/>
              </w:rPr>
              <w:fldChar w:fldCharType="separate"/>
            </w:r>
            <w:r w:rsidR="00C33E69">
              <w:rPr>
                <w:noProof/>
                <w:webHidden/>
              </w:rPr>
              <w:t>17</w:t>
            </w:r>
            <w:r w:rsidR="00876BA9">
              <w:rPr>
                <w:noProof/>
                <w:webHidden/>
              </w:rPr>
              <w:fldChar w:fldCharType="end"/>
            </w:r>
          </w:hyperlink>
        </w:p>
        <w:p w14:paraId="1C5DBD39" w14:textId="382BF52F" w:rsidR="00876BA9" w:rsidRDefault="00CF1905">
          <w:pPr>
            <w:pStyle w:val="TDC3"/>
            <w:tabs>
              <w:tab w:val="right" w:leader="dot" w:pos="8832"/>
            </w:tabs>
            <w:rPr>
              <w:rFonts w:eastAsiaTheme="minorEastAsia" w:cstheme="minorBidi"/>
              <w:noProof/>
              <w:sz w:val="22"/>
              <w:szCs w:val="22"/>
              <w:lang w:val="es-SV" w:eastAsia="es-SV"/>
            </w:rPr>
          </w:pPr>
          <w:hyperlink w:anchor="_Toc205889713" w:history="1">
            <w:r w:rsidR="00876BA9" w:rsidRPr="00171A28">
              <w:rPr>
                <w:rStyle w:val="Hipervnculo"/>
                <w:rFonts w:ascii="Museo Sans 300" w:hAnsi="Museo Sans 300" w:cstheme="minorHAnsi"/>
                <w:noProof/>
              </w:rPr>
              <w:t>4.2 Balance global</w:t>
            </w:r>
            <w:r w:rsidR="00876BA9">
              <w:rPr>
                <w:noProof/>
                <w:webHidden/>
              </w:rPr>
              <w:tab/>
            </w:r>
            <w:r w:rsidR="00876BA9">
              <w:rPr>
                <w:noProof/>
                <w:webHidden/>
              </w:rPr>
              <w:fldChar w:fldCharType="begin"/>
            </w:r>
            <w:r w:rsidR="00876BA9">
              <w:rPr>
                <w:noProof/>
                <w:webHidden/>
              </w:rPr>
              <w:instrText xml:space="preserve"> PAGEREF _Toc205889713 \h </w:instrText>
            </w:r>
            <w:r w:rsidR="00876BA9">
              <w:rPr>
                <w:noProof/>
                <w:webHidden/>
              </w:rPr>
            </w:r>
            <w:r w:rsidR="00876BA9">
              <w:rPr>
                <w:noProof/>
                <w:webHidden/>
              </w:rPr>
              <w:fldChar w:fldCharType="separate"/>
            </w:r>
            <w:r w:rsidR="00C33E69">
              <w:rPr>
                <w:noProof/>
                <w:webHidden/>
              </w:rPr>
              <w:t>17</w:t>
            </w:r>
            <w:r w:rsidR="00876BA9">
              <w:rPr>
                <w:noProof/>
                <w:webHidden/>
              </w:rPr>
              <w:fldChar w:fldCharType="end"/>
            </w:r>
          </w:hyperlink>
        </w:p>
        <w:p w14:paraId="5330FB90" w14:textId="3E8C34D8" w:rsidR="00876BA9" w:rsidRDefault="00CF1905">
          <w:pPr>
            <w:pStyle w:val="TDC2"/>
            <w:tabs>
              <w:tab w:val="right" w:leader="dot" w:pos="8832"/>
            </w:tabs>
            <w:rPr>
              <w:rFonts w:eastAsiaTheme="minorEastAsia" w:cstheme="minorBidi"/>
              <w:noProof/>
              <w:sz w:val="22"/>
              <w:szCs w:val="22"/>
              <w:lang w:val="es-SV" w:eastAsia="es-SV"/>
            </w:rPr>
          </w:pPr>
          <w:hyperlink w:anchor="_Toc205889714" w:history="1">
            <w:r w:rsidR="00876BA9" w:rsidRPr="00171A28">
              <w:rPr>
                <w:rStyle w:val="Hipervnculo"/>
                <w:rFonts w:ascii="Museo Sans 300" w:hAnsi="Museo Sans 300" w:cstheme="minorHAnsi"/>
                <w:noProof/>
                <w:lang w:val="es-MX"/>
              </w:rPr>
              <w:t xml:space="preserve">5. </w:t>
            </w:r>
            <w:r w:rsidR="00876BA9" w:rsidRPr="00171A28">
              <w:rPr>
                <w:rStyle w:val="Hipervnculo"/>
                <w:rFonts w:ascii="Museo Sans 300" w:hAnsi="Museo Sans 300" w:cstheme="minorHAnsi"/>
                <w:noProof/>
              </w:rPr>
              <w:t>Anexos.</w:t>
            </w:r>
            <w:r w:rsidR="00876BA9">
              <w:rPr>
                <w:noProof/>
                <w:webHidden/>
              </w:rPr>
              <w:tab/>
            </w:r>
            <w:r w:rsidR="00876BA9">
              <w:rPr>
                <w:noProof/>
                <w:webHidden/>
              </w:rPr>
              <w:fldChar w:fldCharType="begin"/>
            </w:r>
            <w:r w:rsidR="00876BA9">
              <w:rPr>
                <w:noProof/>
                <w:webHidden/>
              </w:rPr>
              <w:instrText xml:space="preserve"> PAGEREF _Toc205889714 \h </w:instrText>
            </w:r>
            <w:r w:rsidR="00876BA9">
              <w:rPr>
                <w:noProof/>
                <w:webHidden/>
              </w:rPr>
            </w:r>
            <w:r w:rsidR="00876BA9">
              <w:rPr>
                <w:noProof/>
                <w:webHidden/>
              </w:rPr>
              <w:fldChar w:fldCharType="separate"/>
            </w:r>
            <w:r w:rsidR="00C33E69">
              <w:rPr>
                <w:noProof/>
                <w:webHidden/>
              </w:rPr>
              <w:t>19</w:t>
            </w:r>
            <w:r w:rsidR="00876BA9">
              <w:rPr>
                <w:noProof/>
                <w:webHidden/>
              </w:rPr>
              <w:fldChar w:fldCharType="end"/>
            </w:r>
          </w:hyperlink>
        </w:p>
        <w:p w14:paraId="2E81784C" w14:textId="46ADAB0D" w:rsidR="00B44772" w:rsidRPr="0001362C" w:rsidRDefault="00B44772" w:rsidP="00E61B3F">
          <w:pPr>
            <w:spacing w:line="276" w:lineRule="auto"/>
            <w:rPr>
              <w:rFonts w:ascii="Museo Sans 300" w:hAnsi="Museo Sans 300" w:cstheme="minorHAnsi"/>
              <w:sz w:val="22"/>
              <w:szCs w:val="22"/>
            </w:rPr>
          </w:pPr>
          <w:r w:rsidRPr="0001362C">
            <w:rPr>
              <w:rFonts w:ascii="Museo Sans 300" w:hAnsi="Museo Sans 300" w:cstheme="minorHAnsi"/>
              <w:b/>
              <w:bCs/>
              <w:sz w:val="22"/>
              <w:szCs w:val="22"/>
              <w:lang w:val="es-ES"/>
            </w:rPr>
            <w:fldChar w:fldCharType="end"/>
          </w:r>
        </w:p>
      </w:sdtContent>
    </w:sdt>
    <w:p w14:paraId="37F0C617" w14:textId="77777777" w:rsidR="00B44772" w:rsidRPr="0001362C" w:rsidRDefault="00B44772" w:rsidP="00E61B3F">
      <w:pPr>
        <w:pStyle w:val="Ttulo2"/>
        <w:spacing w:line="276" w:lineRule="auto"/>
        <w:jc w:val="center"/>
        <w:rPr>
          <w:rFonts w:ascii="Museo Sans 300" w:hAnsi="Museo Sans 300" w:cstheme="minorHAnsi"/>
          <w:szCs w:val="22"/>
          <w:lang w:val="es-MX"/>
        </w:rPr>
      </w:pPr>
    </w:p>
    <w:p w14:paraId="2AEC28F6" w14:textId="77777777" w:rsidR="00B44772" w:rsidRPr="0001362C" w:rsidRDefault="00B44772" w:rsidP="00E61B3F">
      <w:pPr>
        <w:spacing w:line="276" w:lineRule="auto"/>
        <w:rPr>
          <w:rFonts w:ascii="Museo Sans 300" w:hAnsi="Museo Sans 300" w:cstheme="minorHAnsi"/>
          <w:sz w:val="22"/>
          <w:szCs w:val="22"/>
          <w:lang w:val="es-MX"/>
        </w:rPr>
      </w:pPr>
    </w:p>
    <w:p w14:paraId="40EC3F95" w14:textId="77777777" w:rsidR="00B44772" w:rsidRPr="0001362C" w:rsidRDefault="00B44772" w:rsidP="00E61B3F">
      <w:pPr>
        <w:spacing w:line="276" w:lineRule="auto"/>
        <w:rPr>
          <w:rFonts w:ascii="Museo Sans 300" w:hAnsi="Museo Sans 300" w:cstheme="minorHAnsi"/>
          <w:sz w:val="22"/>
          <w:szCs w:val="22"/>
          <w:lang w:val="es-MX"/>
        </w:rPr>
      </w:pPr>
    </w:p>
    <w:p w14:paraId="42500548" w14:textId="77777777" w:rsidR="00B44772" w:rsidRPr="0001362C" w:rsidRDefault="00B44772" w:rsidP="00E61B3F">
      <w:pPr>
        <w:spacing w:line="276" w:lineRule="auto"/>
        <w:rPr>
          <w:rFonts w:ascii="Museo Sans 300" w:hAnsi="Museo Sans 300" w:cstheme="minorHAnsi"/>
          <w:sz w:val="22"/>
          <w:szCs w:val="22"/>
          <w:lang w:val="es-MX"/>
        </w:rPr>
      </w:pPr>
    </w:p>
    <w:p w14:paraId="12E75FF2" w14:textId="77777777" w:rsidR="00B44772" w:rsidRPr="0001362C" w:rsidRDefault="00B44772" w:rsidP="00E61B3F">
      <w:pPr>
        <w:spacing w:line="276" w:lineRule="auto"/>
        <w:rPr>
          <w:rFonts w:ascii="Museo Sans 300" w:hAnsi="Museo Sans 300" w:cstheme="minorHAnsi"/>
          <w:sz w:val="22"/>
          <w:szCs w:val="22"/>
          <w:lang w:val="es-MX"/>
        </w:rPr>
      </w:pPr>
    </w:p>
    <w:p w14:paraId="515870A6" w14:textId="77777777" w:rsidR="00B44772" w:rsidRPr="0001362C" w:rsidRDefault="00B44772" w:rsidP="00E61B3F">
      <w:pPr>
        <w:spacing w:line="276" w:lineRule="auto"/>
        <w:rPr>
          <w:rFonts w:ascii="Museo Sans 300" w:hAnsi="Museo Sans 300" w:cstheme="minorHAnsi"/>
          <w:sz w:val="22"/>
          <w:szCs w:val="22"/>
          <w:lang w:val="es-MX"/>
        </w:rPr>
      </w:pPr>
    </w:p>
    <w:p w14:paraId="48E670D0" w14:textId="77777777" w:rsidR="00B44772" w:rsidRPr="0001362C" w:rsidRDefault="00B44772" w:rsidP="00E61B3F">
      <w:pPr>
        <w:spacing w:line="276" w:lineRule="auto"/>
        <w:rPr>
          <w:rFonts w:ascii="Museo Sans 300" w:hAnsi="Museo Sans 300" w:cstheme="minorHAnsi"/>
          <w:sz w:val="22"/>
          <w:szCs w:val="22"/>
          <w:lang w:val="es-MX"/>
        </w:rPr>
      </w:pPr>
    </w:p>
    <w:p w14:paraId="4B82B39A" w14:textId="77777777" w:rsidR="00B44772" w:rsidRPr="0001362C" w:rsidRDefault="00B44772" w:rsidP="00E61B3F">
      <w:pPr>
        <w:spacing w:line="276" w:lineRule="auto"/>
        <w:rPr>
          <w:rFonts w:ascii="Museo Sans 300" w:hAnsi="Museo Sans 300" w:cstheme="minorHAnsi"/>
          <w:sz w:val="22"/>
          <w:szCs w:val="22"/>
          <w:lang w:val="es-MX"/>
        </w:rPr>
      </w:pPr>
    </w:p>
    <w:p w14:paraId="70310531" w14:textId="77777777" w:rsidR="00B44772" w:rsidRPr="0001362C" w:rsidRDefault="00B44772" w:rsidP="00E61B3F">
      <w:pPr>
        <w:spacing w:line="276" w:lineRule="auto"/>
        <w:rPr>
          <w:rFonts w:ascii="Museo Sans 300" w:hAnsi="Museo Sans 300" w:cstheme="minorHAnsi"/>
          <w:sz w:val="22"/>
          <w:szCs w:val="22"/>
          <w:lang w:val="es-MX"/>
        </w:rPr>
      </w:pPr>
    </w:p>
    <w:p w14:paraId="23A1185F" w14:textId="6B7DF274" w:rsidR="00B44772" w:rsidRDefault="00B44772" w:rsidP="00E61B3F">
      <w:pPr>
        <w:spacing w:line="276" w:lineRule="auto"/>
        <w:rPr>
          <w:rFonts w:ascii="Museo Sans 300" w:hAnsi="Museo Sans 300" w:cstheme="minorHAnsi"/>
          <w:sz w:val="22"/>
          <w:szCs w:val="22"/>
          <w:lang w:val="es-MX"/>
        </w:rPr>
      </w:pPr>
    </w:p>
    <w:p w14:paraId="59CB394F" w14:textId="1FE14FB6" w:rsidR="0001362C" w:rsidRDefault="0001362C" w:rsidP="00E61B3F">
      <w:pPr>
        <w:spacing w:line="276" w:lineRule="auto"/>
        <w:rPr>
          <w:rFonts w:ascii="Museo Sans 300" w:hAnsi="Museo Sans 300" w:cstheme="minorHAnsi"/>
          <w:sz w:val="22"/>
          <w:szCs w:val="22"/>
          <w:lang w:val="es-MX"/>
        </w:rPr>
      </w:pPr>
    </w:p>
    <w:p w14:paraId="21BBAB06" w14:textId="379CB79B" w:rsidR="0001362C" w:rsidRDefault="0001362C" w:rsidP="00E61B3F">
      <w:pPr>
        <w:spacing w:line="276" w:lineRule="auto"/>
        <w:rPr>
          <w:rFonts w:ascii="Museo Sans 300" w:hAnsi="Museo Sans 300" w:cstheme="minorHAnsi"/>
          <w:sz w:val="22"/>
          <w:szCs w:val="22"/>
          <w:lang w:val="es-MX"/>
        </w:rPr>
      </w:pPr>
    </w:p>
    <w:p w14:paraId="123C9884" w14:textId="39B3C650" w:rsidR="0001362C" w:rsidRDefault="0001362C" w:rsidP="00E61B3F">
      <w:pPr>
        <w:spacing w:line="276" w:lineRule="auto"/>
        <w:rPr>
          <w:rFonts w:ascii="Museo Sans 300" w:hAnsi="Museo Sans 300" w:cstheme="minorHAnsi"/>
          <w:sz w:val="22"/>
          <w:szCs w:val="22"/>
          <w:lang w:val="es-MX"/>
        </w:rPr>
      </w:pPr>
    </w:p>
    <w:p w14:paraId="40CBB40B" w14:textId="77777777" w:rsidR="0001362C" w:rsidRPr="0001362C" w:rsidRDefault="0001362C" w:rsidP="00E61B3F">
      <w:pPr>
        <w:spacing w:line="276" w:lineRule="auto"/>
        <w:rPr>
          <w:rFonts w:ascii="Museo Sans 300" w:hAnsi="Museo Sans 300" w:cstheme="minorHAnsi"/>
          <w:sz w:val="22"/>
          <w:szCs w:val="22"/>
          <w:lang w:val="es-MX"/>
        </w:rPr>
      </w:pPr>
    </w:p>
    <w:p w14:paraId="7630B9D1" w14:textId="77777777" w:rsidR="00B44772" w:rsidRPr="0001362C" w:rsidRDefault="00B44772" w:rsidP="00E61B3F">
      <w:pPr>
        <w:spacing w:line="276" w:lineRule="auto"/>
        <w:rPr>
          <w:rFonts w:ascii="Museo Sans 300" w:hAnsi="Museo Sans 300" w:cstheme="minorHAnsi"/>
          <w:sz w:val="22"/>
          <w:szCs w:val="22"/>
          <w:lang w:val="es-MX"/>
        </w:rPr>
      </w:pPr>
    </w:p>
    <w:p w14:paraId="465587CD" w14:textId="77777777" w:rsidR="000E7ED7" w:rsidRPr="0001362C" w:rsidRDefault="000E7ED7" w:rsidP="00055C62">
      <w:pPr>
        <w:pStyle w:val="Ttulo1"/>
        <w:spacing w:after="240"/>
        <w:jc w:val="center"/>
        <w:rPr>
          <w:rFonts w:ascii="Museo Sans 300" w:hAnsi="Museo Sans 300" w:cstheme="minorHAnsi"/>
          <w:sz w:val="22"/>
          <w:szCs w:val="22"/>
          <w:lang w:val="es-MX"/>
        </w:rPr>
      </w:pPr>
      <w:bookmarkStart w:id="4" w:name="_Toc205889698"/>
      <w:r w:rsidRPr="0001362C">
        <w:rPr>
          <w:rFonts w:ascii="Museo Sans 300" w:hAnsi="Museo Sans 300" w:cstheme="minorHAnsi"/>
          <w:sz w:val="22"/>
          <w:szCs w:val="22"/>
          <w:lang w:val="es-MX"/>
        </w:rPr>
        <w:lastRenderedPageBreak/>
        <w:t>RESUMEN EJECUTIVO</w:t>
      </w:r>
      <w:bookmarkEnd w:id="1"/>
      <w:bookmarkEnd w:id="2"/>
      <w:bookmarkEnd w:id="4"/>
    </w:p>
    <w:p w14:paraId="5A47AD7F" w14:textId="77777777" w:rsidR="000E7ED7" w:rsidRPr="0001362C" w:rsidRDefault="000E7ED7" w:rsidP="006E53FC">
      <w:pPr>
        <w:pStyle w:val="Ttulo2"/>
        <w:spacing w:line="480" w:lineRule="auto"/>
        <w:ind w:left="329" w:hanging="329"/>
        <w:rPr>
          <w:rFonts w:ascii="Museo Sans 300" w:hAnsi="Museo Sans 300" w:cstheme="minorHAnsi"/>
          <w:b w:val="0"/>
          <w:szCs w:val="22"/>
          <w:lang w:val="es-MX"/>
        </w:rPr>
      </w:pPr>
      <w:bookmarkStart w:id="5" w:name="_Toc169162405"/>
      <w:bookmarkStart w:id="6" w:name="_Toc205889699"/>
      <w:r w:rsidRPr="0001362C">
        <w:rPr>
          <w:rFonts w:ascii="Museo Sans 300" w:hAnsi="Museo Sans 300" w:cstheme="minorHAnsi"/>
          <w:szCs w:val="22"/>
          <w:lang w:val="es-MX"/>
        </w:rPr>
        <w:t xml:space="preserve">I.  La ejecución financiera del Sector Público No Financiero (SPNF) </w:t>
      </w:r>
      <w:r w:rsidR="00724E84" w:rsidRPr="0001362C">
        <w:rPr>
          <w:rFonts w:ascii="Museo Sans 300" w:hAnsi="Museo Sans 300" w:cstheme="minorHAnsi"/>
          <w:szCs w:val="22"/>
          <w:lang w:val="es-MX"/>
        </w:rPr>
        <w:t>a marzo</w:t>
      </w:r>
      <w:r w:rsidRPr="0001362C">
        <w:rPr>
          <w:rFonts w:ascii="Museo Sans 300" w:hAnsi="Museo Sans 300" w:cstheme="minorHAnsi"/>
          <w:szCs w:val="22"/>
          <w:lang w:val="es-MX"/>
        </w:rPr>
        <w:t xml:space="preserve"> 202</w:t>
      </w:r>
      <w:r w:rsidR="00724E84" w:rsidRPr="0001362C">
        <w:rPr>
          <w:rFonts w:ascii="Museo Sans 300" w:hAnsi="Museo Sans 300" w:cstheme="minorHAnsi"/>
          <w:szCs w:val="22"/>
          <w:lang w:val="es-MX"/>
        </w:rPr>
        <w:t>5</w:t>
      </w:r>
      <w:bookmarkEnd w:id="5"/>
      <w:bookmarkEnd w:id="6"/>
      <w:r w:rsidRPr="0001362C">
        <w:rPr>
          <w:rFonts w:ascii="Museo Sans 300" w:hAnsi="Museo Sans 300" w:cstheme="minorHAnsi"/>
          <w:szCs w:val="22"/>
          <w:lang w:val="es-MX"/>
        </w:rPr>
        <w:t xml:space="preserve"> </w:t>
      </w:r>
    </w:p>
    <w:p w14:paraId="0AD7BBCE" w14:textId="77777777" w:rsidR="000E7ED7" w:rsidRPr="0001362C" w:rsidRDefault="000E7ED7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El Balance Fiscal del SPNF consolidado al mes de </w:t>
      </w:r>
      <w:r w:rsidR="00724E84" w:rsidRPr="0001362C">
        <w:rPr>
          <w:rFonts w:ascii="Museo Sans 300" w:hAnsi="Museo Sans 300" w:cstheme="minorHAnsi"/>
          <w:sz w:val="22"/>
          <w:szCs w:val="22"/>
          <w:lang w:val="es-MX"/>
        </w:rPr>
        <w:t>marzo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de 202</w:t>
      </w:r>
      <w:r w:rsidR="00724E84" w:rsidRPr="0001362C">
        <w:rPr>
          <w:rFonts w:ascii="Museo Sans 300" w:hAnsi="Museo Sans 300" w:cstheme="minorHAnsi"/>
          <w:sz w:val="22"/>
          <w:szCs w:val="22"/>
          <w:lang w:val="es-MX"/>
        </w:rPr>
        <w:t>5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, presenta un déficit </w:t>
      </w:r>
      <w:r w:rsidR="002574B4" w:rsidRPr="0001362C">
        <w:rPr>
          <w:rFonts w:ascii="Museo Sans 300" w:hAnsi="Museo Sans 300" w:cstheme="minorHAnsi"/>
          <w:sz w:val="22"/>
          <w:szCs w:val="22"/>
          <w:lang w:val="es-MX"/>
        </w:rPr>
        <w:t>con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pensiones de $</w:t>
      </w:r>
      <w:r w:rsidR="002574B4" w:rsidRPr="0001362C">
        <w:rPr>
          <w:rFonts w:ascii="Museo Sans 300" w:hAnsi="Museo Sans 300" w:cstheme="minorHAnsi"/>
          <w:sz w:val="22"/>
          <w:szCs w:val="22"/>
          <w:lang w:val="es-MX"/>
        </w:rPr>
        <w:t>224.7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millones, m</w:t>
      </w:r>
      <w:r w:rsidR="002574B4" w:rsidRPr="0001362C">
        <w:rPr>
          <w:rFonts w:ascii="Museo Sans 300" w:hAnsi="Museo Sans 300" w:cstheme="minorHAnsi"/>
          <w:sz w:val="22"/>
          <w:szCs w:val="22"/>
          <w:lang w:val="es-MX"/>
        </w:rPr>
        <w:t>enor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en $</w:t>
      </w:r>
      <w:r w:rsidR="004338F2" w:rsidRPr="0001362C">
        <w:rPr>
          <w:rFonts w:ascii="Museo Sans 300" w:hAnsi="Museo Sans 300" w:cstheme="minorHAnsi"/>
          <w:sz w:val="22"/>
          <w:szCs w:val="22"/>
          <w:lang w:val="es-MX"/>
        </w:rPr>
        <w:t>1</w:t>
      </w:r>
      <w:r w:rsidR="002574B4" w:rsidRPr="0001362C">
        <w:rPr>
          <w:rFonts w:ascii="Museo Sans 300" w:hAnsi="Museo Sans 300" w:cstheme="minorHAnsi"/>
          <w:sz w:val="22"/>
          <w:szCs w:val="22"/>
          <w:lang w:val="es-MX"/>
        </w:rPr>
        <w:t>30.8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 a los resultados obtenidos al mes de </w:t>
      </w:r>
      <w:r w:rsidR="00AB0F79" w:rsidRPr="0001362C">
        <w:rPr>
          <w:rFonts w:ascii="Museo Sans 300" w:hAnsi="Museo Sans 300" w:cstheme="minorHAnsi"/>
          <w:sz w:val="22"/>
          <w:szCs w:val="22"/>
          <w:lang w:val="es-MX"/>
        </w:rPr>
        <w:t>marzo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de 202</w:t>
      </w:r>
      <w:r w:rsidR="00B6261C" w:rsidRPr="0001362C">
        <w:rPr>
          <w:rFonts w:ascii="Museo Sans 300" w:hAnsi="Museo Sans 300" w:cstheme="minorHAnsi"/>
          <w:sz w:val="22"/>
          <w:szCs w:val="22"/>
          <w:lang w:val="es-MX"/>
        </w:rPr>
        <w:t>4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. En términos del PIB fue equivalente al -</w:t>
      </w:r>
      <w:r w:rsidR="002574B4" w:rsidRPr="0001362C">
        <w:rPr>
          <w:rFonts w:ascii="Museo Sans 300" w:hAnsi="Museo Sans 300" w:cstheme="minorHAnsi"/>
          <w:sz w:val="22"/>
          <w:szCs w:val="22"/>
          <w:lang w:val="es-MX"/>
        </w:rPr>
        <w:t>0.6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%. </w:t>
      </w:r>
    </w:p>
    <w:p w14:paraId="114C7913" w14:textId="77777777" w:rsidR="000E7ED7" w:rsidRPr="0001362C" w:rsidRDefault="000E7ED7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</w:p>
    <w:p w14:paraId="3DCD79F6" w14:textId="77777777" w:rsidR="000E7ED7" w:rsidRPr="0001362C" w:rsidRDefault="000E7ED7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El </w:t>
      </w:r>
      <w:r w:rsidR="004B64AF" w:rsidRPr="0001362C">
        <w:rPr>
          <w:rFonts w:ascii="Museo Sans 300" w:hAnsi="Museo Sans 300" w:cstheme="minorHAnsi"/>
          <w:sz w:val="22"/>
          <w:szCs w:val="22"/>
          <w:lang w:val="es-MX"/>
        </w:rPr>
        <w:t>B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alance </w:t>
      </w:r>
      <w:r w:rsidR="004B64AF" w:rsidRPr="0001362C">
        <w:rPr>
          <w:rFonts w:ascii="Museo Sans 300" w:hAnsi="Museo Sans 300" w:cstheme="minorHAnsi"/>
          <w:sz w:val="22"/>
          <w:szCs w:val="22"/>
          <w:lang w:val="es-MX"/>
        </w:rPr>
        <w:t>P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rimario obtuvo un superávit de $</w:t>
      </w:r>
      <w:r w:rsidR="002574B4" w:rsidRPr="0001362C">
        <w:rPr>
          <w:rFonts w:ascii="Museo Sans 300" w:hAnsi="Museo Sans 300" w:cstheme="minorHAnsi"/>
          <w:sz w:val="22"/>
          <w:szCs w:val="22"/>
          <w:lang w:val="es-MX"/>
        </w:rPr>
        <w:t>206.7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millones, equivalente a </w:t>
      </w:r>
      <w:r w:rsidR="002574B4" w:rsidRPr="0001362C">
        <w:rPr>
          <w:rFonts w:ascii="Museo Sans 300" w:hAnsi="Museo Sans 300" w:cstheme="minorHAnsi"/>
          <w:sz w:val="22"/>
          <w:szCs w:val="22"/>
          <w:lang w:val="es-MX"/>
        </w:rPr>
        <w:t>0</w:t>
      </w:r>
      <w:r w:rsidR="004338F2" w:rsidRPr="0001362C">
        <w:rPr>
          <w:rFonts w:ascii="Museo Sans 300" w:hAnsi="Museo Sans 300" w:cstheme="minorHAnsi"/>
          <w:sz w:val="22"/>
          <w:szCs w:val="22"/>
          <w:lang w:val="es-MX"/>
        </w:rPr>
        <w:t>.6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% del PIB, </w:t>
      </w:r>
      <w:r w:rsidR="002574B4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mayor en 0.3 puntos porcentuales 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al resultado de </w:t>
      </w:r>
      <w:r w:rsidR="00B6261C" w:rsidRPr="0001362C">
        <w:rPr>
          <w:rFonts w:ascii="Museo Sans 300" w:hAnsi="Museo Sans 300" w:cstheme="minorHAnsi"/>
          <w:sz w:val="22"/>
          <w:szCs w:val="22"/>
          <w:lang w:val="es-MX"/>
        </w:rPr>
        <w:t>marzo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202</w:t>
      </w:r>
      <w:r w:rsidR="00B6261C" w:rsidRPr="0001362C">
        <w:rPr>
          <w:rFonts w:ascii="Museo Sans 300" w:hAnsi="Museo Sans 300" w:cstheme="minorHAnsi"/>
          <w:sz w:val="22"/>
          <w:szCs w:val="22"/>
          <w:lang w:val="es-MX"/>
        </w:rPr>
        <w:t>4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. </w:t>
      </w:r>
    </w:p>
    <w:p w14:paraId="0ECCA4B7" w14:textId="77777777" w:rsidR="000E7ED7" w:rsidRPr="0001362C" w:rsidRDefault="000E7ED7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</w:p>
    <w:p w14:paraId="5BD7CBDB" w14:textId="30F77A7C" w:rsidR="000E7ED7" w:rsidRPr="0001362C" w:rsidRDefault="000E7ED7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Los ingresos totales </w:t>
      </w:r>
      <w:r w:rsidR="00724E84" w:rsidRPr="0001362C">
        <w:rPr>
          <w:rFonts w:ascii="Museo Sans 300" w:hAnsi="Museo Sans 300" w:cstheme="minorHAnsi"/>
          <w:sz w:val="22"/>
          <w:szCs w:val="22"/>
          <w:lang w:val="es-MX"/>
        </w:rPr>
        <w:t>a marzo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de 202</w:t>
      </w:r>
      <w:r w:rsidR="00724E84" w:rsidRPr="0001362C">
        <w:rPr>
          <w:rFonts w:ascii="Museo Sans 300" w:hAnsi="Museo Sans 300" w:cstheme="minorHAnsi"/>
          <w:sz w:val="22"/>
          <w:szCs w:val="22"/>
          <w:lang w:val="es-MX"/>
        </w:rPr>
        <w:t>5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registraron un valor de $</w:t>
      </w:r>
      <w:r w:rsidR="002574B4" w:rsidRPr="0001362C">
        <w:rPr>
          <w:rFonts w:ascii="Museo Sans 300" w:hAnsi="Museo Sans 300" w:cstheme="minorHAnsi"/>
          <w:sz w:val="22"/>
          <w:szCs w:val="22"/>
          <w:lang w:val="es-MX"/>
        </w:rPr>
        <w:t>2,236.9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millones, mostrando un crecimiento anual de </w:t>
      </w:r>
      <w:r w:rsidR="002574B4" w:rsidRPr="0001362C">
        <w:rPr>
          <w:rFonts w:ascii="Museo Sans 300" w:hAnsi="Museo Sans 300" w:cstheme="minorHAnsi"/>
          <w:sz w:val="22"/>
          <w:szCs w:val="22"/>
          <w:lang w:val="es-MX"/>
        </w:rPr>
        <w:t>2.6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%, equivalente a $</w:t>
      </w:r>
      <w:r w:rsidR="002574B4" w:rsidRPr="0001362C">
        <w:rPr>
          <w:rFonts w:ascii="Museo Sans 300" w:hAnsi="Museo Sans 300" w:cstheme="minorHAnsi"/>
          <w:sz w:val="22"/>
          <w:szCs w:val="22"/>
          <w:lang w:val="es-MX"/>
        </w:rPr>
        <w:t>57.7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millones, originado principalmente por el aumento en los ingresos tributarios. </w:t>
      </w:r>
      <w:r w:rsidR="008269EE" w:rsidRPr="0001362C">
        <w:rPr>
          <w:rFonts w:ascii="Museo Sans 300" w:hAnsi="Museo Sans 300" w:cstheme="minorHAnsi"/>
          <w:sz w:val="22"/>
          <w:szCs w:val="22"/>
          <w:lang w:val="es-MX"/>
        </w:rPr>
        <w:t>Al primer trimestre, de forma preliminar l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os ingresos totales </w:t>
      </w:r>
      <w:r w:rsidR="008269EE" w:rsidRPr="0001362C">
        <w:rPr>
          <w:rFonts w:ascii="Museo Sans 300" w:hAnsi="Museo Sans 300" w:cstheme="minorHAnsi"/>
          <w:sz w:val="22"/>
          <w:szCs w:val="22"/>
          <w:lang w:val="es-MX"/>
        </w:rPr>
        <w:t>se estiman en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</w:t>
      </w:r>
      <w:r w:rsidR="002574B4" w:rsidRPr="0001362C">
        <w:rPr>
          <w:rFonts w:ascii="Museo Sans 300" w:hAnsi="Museo Sans 300" w:cstheme="minorHAnsi"/>
          <w:sz w:val="22"/>
          <w:szCs w:val="22"/>
          <w:lang w:val="es-MX"/>
        </w:rPr>
        <w:t>6.1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% del PIB</w:t>
      </w:r>
      <w:r w:rsidR="008269EE" w:rsidRPr="0001362C">
        <w:rPr>
          <w:rFonts w:ascii="Museo Sans 300" w:hAnsi="Museo Sans 300" w:cstheme="minorHAnsi"/>
          <w:sz w:val="22"/>
          <w:szCs w:val="22"/>
          <w:lang w:val="es-MX"/>
        </w:rPr>
        <w:t>.</w:t>
      </w:r>
    </w:p>
    <w:p w14:paraId="00B4866D" w14:textId="77777777" w:rsidR="000E7ED7" w:rsidRPr="0001362C" w:rsidRDefault="000E7ED7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</w:p>
    <w:p w14:paraId="2895AC5C" w14:textId="73FD7245" w:rsidR="000E7ED7" w:rsidRPr="0001362C" w:rsidRDefault="000E7ED7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sz w:val="22"/>
          <w:szCs w:val="22"/>
          <w:lang w:val="es-MX"/>
        </w:rPr>
        <w:t>La recaudación tributaria (incluyendo las contribuciones especiales) alcanzó un monto de $</w:t>
      </w:r>
      <w:r w:rsidR="002574B4" w:rsidRPr="0001362C">
        <w:rPr>
          <w:rFonts w:ascii="Museo Sans 300" w:hAnsi="Museo Sans 300" w:cstheme="minorHAnsi"/>
          <w:sz w:val="22"/>
          <w:szCs w:val="22"/>
          <w:lang w:val="es-MX"/>
        </w:rPr>
        <w:t>1,885.3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millones, con un aumento de $</w:t>
      </w:r>
      <w:r w:rsidR="002574B4" w:rsidRPr="0001362C">
        <w:rPr>
          <w:rFonts w:ascii="Museo Sans 300" w:hAnsi="Museo Sans 300" w:cstheme="minorHAnsi"/>
          <w:sz w:val="22"/>
          <w:szCs w:val="22"/>
          <w:lang w:val="es-MX"/>
        </w:rPr>
        <w:t>57.4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 con respecto al mismo período de 202</w:t>
      </w:r>
      <w:r w:rsidR="002574B4" w:rsidRPr="0001362C">
        <w:rPr>
          <w:rFonts w:ascii="Museo Sans 300" w:hAnsi="Museo Sans 300" w:cstheme="minorHAnsi"/>
          <w:sz w:val="22"/>
          <w:szCs w:val="22"/>
          <w:lang w:val="es-MX"/>
        </w:rPr>
        <w:t>4</w:t>
      </w:r>
      <w:r w:rsidR="00E22D40" w:rsidRPr="0001362C">
        <w:rPr>
          <w:rFonts w:ascii="Museo Sans 300" w:hAnsi="Museo Sans 300" w:cstheme="minorHAnsi"/>
          <w:sz w:val="22"/>
          <w:szCs w:val="22"/>
          <w:lang w:val="es-MX"/>
        </w:rPr>
        <w:t>, con una variación interanual de</w:t>
      </w:r>
      <w:r w:rsidR="008269EE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3.1</w:t>
      </w:r>
      <w:r w:rsidR="00E22D40" w:rsidRPr="0001362C">
        <w:rPr>
          <w:rFonts w:ascii="Museo Sans 300" w:hAnsi="Museo Sans 300" w:cstheme="minorHAnsi"/>
          <w:sz w:val="22"/>
          <w:szCs w:val="22"/>
          <w:lang w:val="es-MX"/>
        </w:rPr>
        <w:t>%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. El coeficiente de tributación</w:t>
      </w:r>
      <w:r w:rsidR="008269EE" w:rsidRPr="0001362C">
        <w:rPr>
          <w:rFonts w:ascii="Museo Sans 300" w:hAnsi="Museo Sans 300" w:cstheme="minorHAnsi"/>
          <w:sz w:val="22"/>
          <w:szCs w:val="22"/>
          <w:lang w:val="es-MX"/>
        </w:rPr>
        <w:t>, de forma preliminar,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con relación al PIB </w:t>
      </w:r>
      <w:r w:rsidR="008269EE" w:rsidRPr="0001362C">
        <w:rPr>
          <w:rFonts w:ascii="Museo Sans 300" w:hAnsi="Museo Sans 300" w:cstheme="minorHAnsi"/>
          <w:sz w:val="22"/>
          <w:szCs w:val="22"/>
          <w:lang w:val="es-MX"/>
        </w:rPr>
        <w:t>se estima en</w:t>
      </w:r>
      <w:r w:rsidR="002574B4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5.1</w:t>
      </w:r>
      <w:r w:rsidR="008269EE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puntos porcentuales.</w:t>
      </w:r>
    </w:p>
    <w:p w14:paraId="11021812" w14:textId="77777777" w:rsidR="00E110B3" w:rsidRPr="0001362C" w:rsidRDefault="00E110B3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</w:p>
    <w:p w14:paraId="186236EE" w14:textId="5D15BE45" w:rsidR="000E7ED7" w:rsidRPr="0001362C" w:rsidRDefault="000E7ED7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sz w:val="22"/>
          <w:szCs w:val="22"/>
          <w:lang w:val="es-MX"/>
        </w:rPr>
        <w:t>Por fuente específica, el Impuesto al Valor Agregado registró un flujo acumulado de $</w:t>
      </w:r>
      <w:r w:rsidR="002574B4" w:rsidRPr="0001362C">
        <w:rPr>
          <w:rFonts w:ascii="Museo Sans 300" w:hAnsi="Museo Sans 300" w:cstheme="minorHAnsi"/>
          <w:sz w:val="22"/>
          <w:szCs w:val="22"/>
          <w:lang w:val="es-MX"/>
        </w:rPr>
        <w:t>941.9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millones; el Impuesto sobre la Renta alcanzó un valor recaudado de $</w:t>
      </w:r>
      <w:r w:rsidR="00AE5F50" w:rsidRPr="0001362C">
        <w:rPr>
          <w:rFonts w:ascii="Museo Sans 300" w:hAnsi="Museo Sans 300" w:cstheme="minorHAnsi"/>
          <w:sz w:val="22"/>
          <w:szCs w:val="22"/>
          <w:lang w:val="es-MX"/>
        </w:rPr>
        <w:t>721.4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millones, que en conjunto ambos impuestos suman $</w:t>
      </w:r>
      <w:r w:rsidR="00AE5F50" w:rsidRPr="0001362C">
        <w:rPr>
          <w:rFonts w:ascii="Museo Sans 300" w:hAnsi="Museo Sans 300" w:cstheme="minorHAnsi"/>
          <w:sz w:val="22"/>
          <w:szCs w:val="22"/>
          <w:lang w:val="es-MX"/>
        </w:rPr>
        <w:t>1,663</w:t>
      </w:r>
      <w:r w:rsidR="00D11A8F" w:rsidRPr="0001362C">
        <w:rPr>
          <w:rFonts w:ascii="Museo Sans 300" w:hAnsi="Museo Sans 300" w:cstheme="minorHAnsi"/>
          <w:sz w:val="22"/>
          <w:szCs w:val="22"/>
          <w:lang w:val="es-MX"/>
        </w:rPr>
        <w:t>.3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millones, equivalente al 88.</w:t>
      </w:r>
      <w:r w:rsidR="004338F2" w:rsidRPr="0001362C">
        <w:rPr>
          <w:rFonts w:ascii="Museo Sans 300" w:hAnsi="Museo Sans 300" w:cstheme="minorHAnsi"/>
          <w:sz w:val="22"/>
          <w:szCs w:val="22"/>
          <w:lang w:val="es-MX"/>
        </w:rPr>
        <w:t>2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% del total</w:t>
      </w:r>
      <w:r w:rsidR="008269EE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de los ingresos tributarios</w:t>
      </w:r>
    </w:p>
    <w:p w14:paraId="0AE21621" w14:textId="77777777" w:rsidR="000E7ED7" w:rsidRPr="0001362C" w:rsidRDefault="000E7ED7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</w:p>
    <w:p w14:paraId="1E779AAA" w14:textId="77777777" w:rsidR="000E7ED7" w:rsidRPr="0001362C" w:rsidRDefault="000E7ED7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sz w:val="22"/>
          <w:szCs w:val="22"/>
          <w:lang w:val="es-MX"/>
        </w:rPr>
        <w:t>La recaudación por Derechos Arancelarios a la Importación de Bienes registró un total de $</w:t>
      </w:r>
      <w:r w:rsidR="008C3428" w:rsidRPr="0001362C">
        <w:rPr>
          <w:rFonts w:ascii="Museo Sans 300" w:hAnsi="Museo Sans 300" w:cstheme="minorHAnsi"/>
          <w:sz w:val="22"/>
          <w:szCs w:val="22"/>
          <w:lang w:val="es-MX"/>
        </w:rPr>
        <w:t>86.1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millones, mostrando un incremento de </w:t>
      </w:r>
      <w:r w:rsidR="008C3428" w:rsidRPr="0001362C">
        <w:rPr>
          <w:rFonts w:ascii="Museo Sans 300" w:hAnsi="Museo Sans 300" w:cstheme="minorHAnsi"/>
          <w:sz w:val="22"/>
          <w:szCs w:val="22"/>
          <w:lang w:val="es-MX"/>
        </w:rPr>
        <w:t>11.3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% con respecto </w:t>
      </w:r>
      <w:r w:rsidR="00724E84" w:rsidRPr="0001362C">
        <w:rPr>
          <w:rFonts w:ascii="Museo Sans 300" w:hAnsi="Museo Sans 300" w:cstheme="minorHAnsi"/>
          <w:sz w:val="22"/>
          <w:szCs w:val="22"/>
          <w:lang w:val="es-MX"/>
        </w:rPr>
        <w:t>a marzo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202</w:t>
      </w:r>
      <w:r w:rsidR="00724E84" w:rsidRPr="0001362C">
        <w:rPr>
          <w:rFonts w:ascii="Museo Sans 300" w:hAnsi="Museo Sans 300" w:cstheme="minorHAnsi"/>
          <w:sz w:val="22"/>
          <w:szCs w:val="22"/>
          <w:lang w:val="es-MX"/>
        </w:rPr>
        <w:t>4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.</w:t>
      </w:r>
    </w:p>
    <w:p w14:paraId="3C3F2D9D" w14:textId="77777777" w:rsidR="000E7ED7" w:rsidRPr="0001362C" w:rsidRDefault="000E7ED7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</w:p>
    <w:p w14:paraId="5EC5A4D1" w14:textId="77777777" w:rsidR="000E7ED7" w:rsidRPr="0001362C" w:rsidRDefault="000E7ED7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Los </w:t>
      </w:r>
      <w:r w:rsidR="004B64AF" w:rsidRPr="0001362C">
        <w:rPr>
          <w:rFonts w:ascii="Museo Sans 300" w:hAnsi="Museo Sans 300" w:cstheme="minorHAnsi"/>
          <w:sz w:val="22"/>
          <w:szCs w:val="22"/>
          <w:lang w:val="es-MX"/>
        </w:rPr>
        <w:t>I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ngresos no </w:t>
      </w:r>
      <w:r w:rsidR="004B64AF" w:rsidRPr="0001362C">
        <w:rPr>
          <w:rFonts w:ascii="Museo Sans 300" w:hAnsi="Museo Sans 300" w:cstheme="minorHAnsi"/>
          <w:sz w:val="22"/>
          <w:szCs w:val="22"/>
          <w:lang w:val="es-MX"/>
        </w:rPr>
        <w:t>T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ributarios a nivel de SPNF registraron un monto de $</w:t>
      </w:r>
      <w:r w:rsidR="008C3428" w:rsidRPr="0001362C">
        <w:rPr>
          <w:rFonts w:ascii="Museo Sans 300" w:hAnsi="Museo Sans 300" w:cstheme="minorHAnsi"/>
          <w:sz w:val="22"/>
          <w:szCs w:val="22"/>
          <w:lang w:val="es-MX"/>
        </w:rPr>
        <w:t>315.6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millones, experimentando un</w:t>
      </w:r>
      <w:r w:rsidR="008C3428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aumento de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$</w:t>
      </w:r>
      <w:r w:rsidR="007448A8" w:rsidRPr="0001362C">
        <w:rPr>
          <w:rFonts w:ascii="Museo Sans 300" w:hAnsi="Museo Sans 300" w:cstheme="minorHAnsi"/>
          <w:sz w:val="22"/>
          <w:szCs w:val="22"/>
          <w:lang w:val="es-MX"/>
        </w:rPr>
        <w:t>1</w:t>
      </w:r>
      <w:r w:rsidR="008C3428" w:rsidRPr="0001362C">
        <w:rPr>
          <w:rFonts w:ascii="Museo Sans 300" w:hAnsi="Museo Sans 300" w:cstheme="minorHAnsi"/>
          <w:sz w:val="22"/>
          <w:szCs w:val="22"/>
          <w:lang w:val="es-MX"/>
        </w:rPr>
        <w:t>9.6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 con relación al mes de </w:t>
      </w:r>
      <w:r w:rsidR="00724E84" w:rsidRPr="0001362C">
        <w:rPr>
          <w:rFonts w:ascii="Museo Sans 300" w:hAnsi="Museo Sans 300" w:cstheme="minorHAnsi"/>
          <w:sz w:val="22"/>
          <w:szCs w:val="22"/>
          <w:lang w:val="es-MX"/>
        </w:rPr>
        <w:t>marzo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202</w:t>
      </w:r>
      <w:r w:rsidR="00724E84" w:rsidRPr="0001362C">
        <w:rPr>
          <w:rFonts w:ascii="Museo Sans 300" w:hAnsi="Museo Sans 300" w:cstheme="minorHAnsi"/>
          <w:sz w:val="22"/>
          <w:szCs w:val="22"/>
          <w:lang w:val="es-MX"/>
        </w:rPr>
        <w:t>4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.</w:t>
      </w:r>
    </w:p>
    <w:p w14:paraId="5F50DC63" w14:textId="77777777" w:rsidR="000E7ED7" w:rsidRPr="0001362C" w:rsidRDefault="000E7ED7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</w:p>
    <w:p w14:paraId="3C23A279" w14:textId="12A5E831" w:rsidR="000E7ED7" w:rsidRPr="0001362C" w:rsidRDefault="000E7ED7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La ejecución del </w:t>
      </w:r>
      <w:r w:rsidR="004B64AF" w:rsidRPr="0001362C">
        <w:rPr>
          <w:rFonts w:ascii="Museo Sans 300" w:hAnsi="Museo Sans 300" w:cstheme="minorHAnsi"/>
          <w:sz w:val="22"/>
          <w:szCs w:val="22"/>
          <w:lang w:val="es-MX"/>
        </w:rPr>
        <w:t>G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asto </w:t>
      </w:r>
      <w:r w:rsidR="004B64AF" w:rsidRPr="0001362C">
        <w:rPr>
          <w:rFonts w:ascii="Museo Sans 300" w:hAnsi="Museo Sans 300" w:cstheme="minorHAnsi"/>
          <w:sz w:val="22"/>
          <w:szCs w:val="22"/>
          <w:lang w:val="es-MX"/>
        </w:rPr>
        <w:t>T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otal del SPNF al mes de </w:t>
      </w:r>
      <w:r w:rsidR="00724E84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marzo 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de 202</w:t>
      </w:r>
      <w:r w:rsidR="00724E84" w:rsidRPr="0001362C">
        <w:rPr>
          <w:rFonts w:ascii="Museo Sans 300" w:hAnsi="Museo Sans 300" w:cstheme="minorHAnsi"/>
          <w:sz w:val="22"/>
          <w:szCs w:val="22"/>
          <w:lang w:val="es-MX"/>
        </w:rPr>
        <w:t>5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ascendió a $</w:t>
      </w:r>
      <w:r w:rsidR="008C3428" w:rsidRPr="0001362C">
        <w:rPr>
          <w:rFonts w:ascii="Museo Sans 300" w:hAnsi="Museo Sans 300" w:cstheme="minorHAnsi"/>
          <w:sz w:val="22"/>
          <w:szCs w:val="22"/>
          <w:lang w:val="es-MX"/>
        </w:rPr>
        <w:t>2,461.6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millones, con un</w:t>
      </w:r>
      <w:r w:rsidR="008C3428" w:rsidRPr="0001362C">
        <w:rPr>
          <w:rFonts w:ascii="Museo Sans 300" w:hAnsi="Museo Sans 300" w:cstheme="minorHAnsi"/>
          <w:sz w:val="22"/>
          <w:szCs w:val="22"/>
          <w:lang w:val="es-MX"/>
        </w:rPr>
        <w:t>a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</w:t>
      </w:r>
      <w:r w:rsidR="008C3428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disminución 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de $</w:t>
      </w:r>
      <w:r w:rsidR="008C3428" w:rsidRPr="0001362C">
        <w:rPr>
          <w:rFonts w:ascii="Museo Sans 300" w:hAnsi="Museo Sans 300" w:cstheme="minorHAnsi"/>
          <w:sz w:val="22"/>
          <w:szCs w:val="22"/>
          <w:lang w:val="es-MX"/>
        </w:rPr>
        <w:t>73.1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 con respecto al año anterior</w:t>
      </w:r>
      <w:r w:rsidR="007038CF" w:rsidRPr="0001362C">
        <w:rPr>
          <w:rFonts w:ascii="Museo Sans 300" w:hAnsi="Museo Sans 300" w:cstheme="minorHAnsi"/>
          <w:sz w:val="22"/>
          <w:szCs w:val="22"/>
          <w:lang w:val="es-MX"/>
        </w:rPr>
        <w:t>, mostrando</w:t>
      </w:r>
      <w:r w:rsidR="008269EE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una variación interanual negativa de 2.9% </w:t>
      </w:r>
      <w:r w:rsidR="00A0733E" w:rsidRPr="0001362C">
        <w:rPr>
          <w:rFonts w:ascii="Museo Sans 300" w:hAnsi="Museo Sans 300" w:cstheme="minorHAnsi"/>
          <w:sz w:val="22"/>
          <w:szCs w:val="22"/>
          <w:lang w:val="es-MX"/>
        </w:rPr>
        <w:t>con respecto al mismo período en 2024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.</w:t>
      </w:r>
    </w:p>
    <w:p w14:paraId="3E1CD400" w14:textId="77777777" w:rsidR="000E7ED7" w:rsidRPr="0001362C" w:rsidRDefault="000E7ED7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</w:p>
    <w:p w14:paraId="72FDC7E2" w14:textId="4AFB7E66" w:rsidR="000E7ED7" w:rsidRPr="0001362C" w:rsidRDefault="000E7ED7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Los </w:t>
      </w:r>
      <w:r w:rsidR="00D7299C" w:rsidRPr="0001362C">
        <w:rPr>
          <w:rFonts w:ascii="Museo Sans 300" w:hAnsi="Museo Sans 300" w:cstheme="minorHAnsi"/>
          <w:sz w:val="22"/>
          <w:szCs w:val="22"/>
          <w:lang w:val="es-MX"/>
        </w:rPr>
        <w:t>G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astos </w:t>
      </w:r>
      <w:r w:rsidR="00D7299C" w:rsidRPr="0001362C">
        <w:rPr>
          <w:rFonts w:ascii="Museo Sans 300" w:hAnsi="Museo Sans 300" w:cstheme="minorHAnsi"/>
          <w:sz w:val="22"/>
          <w:szCs w:val="22"/>
          <w:lang w:val="es-MX"/>
        </w:rPr>
        <w:t>C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orrientes del SPNF registraron un monto de $</w:t>
      </w:r>
      <w:r w:rsidR="008C3428" w:rsidRPr="0001362C">
        <w:rPr>
          <w:rFonts w:ascii="Museo Sans 300" w:hAnsi="Museo Sans 300" w:cstheme="minorHAnsi"/>
          <w:sz w:val="22"/>
          <w:szCs w:val="22"/>
          <w:lang w:val="es-MX"/>
        </w:rPr>
        <w:t>2,089.4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millones, mostrando un</w:t>
      </w:r>
      <w:r w:rsidR="008C3428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a disminución de 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10.</w:t>
      </w:r>
      <w:r w:rsidR="008C3428" w:rsidRPr="0001362C">
        <w:rPr>
          <w:rFonts w:ascii="Museo Sans 300" w:hAnsi="Museo Sans 300" w:cstheme="minorHAnsi"/>
          <w:sz w:val="22"/>
          <w:szCs w:val="22"/>
          <w:lang w:val="es-MX"/>
        </w:rPr>
        <w:t>3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%</w:t>
      </w:r>
      <w:r w:rsidR="00496D88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con respecto al mismo período en 2024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. </w:t>
      </w:r>
    </w:p>
    <w:p w14:paraId="0CEA18AC" w14:textId="77777777" w:rsidR="000E7ED7" w:rsidRPr="0001362C" w:rsidRDefault="000E7ED7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</w:p>
    <w:p w14:paraId="0BC143CC" w14:textId="18D0CBBB" w:rsidR="000E7ED7" w:rsidRPr="0001362C" w:rsidRDefault="000E7ED7" w:rsidP="00E61B3F">
      <w:pPr>
        <w:pStyle w:val="Textoindependiente2"/>
        <w:spacing w:after="0" w:line="276" w:lineRule="auto"/>
        <w:ind w:right="-32"/>
        <w:jc w:val="both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Los </w:t>
      </w:r>
      <w:r w:rsidR="00D7299C" w:rsidRPr="0001362C">
        <w:rPr>
          <w:rFonts w:ascii="Museo Sans 300" w:hAnsi="Museo Sans 300" w:cstheme="minorHAnsi"/>
          <w:sz w:val="22"/>
          <w:szCs w:val="22"/>
          <w:lang w:val="es-MX"/>
        </w:rPr>
        <w:t>G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astos de </w:t>
      </w:r>
      <w:r w:rsidR="00D7299C" w:rsidRPr="0001362C">
        <w:rPr>
          <w:rFonts w:ascii="Museo Sans 300" w:hAnsi="Museo Sans 300" w:cstheme="minorHAnsi"/>
          <w:sz w:val="22"/>
          <w:szCs w:val="22"/>
          <w:lang w:val="es-MX"/>
        </w:rPr>
        <w:t>C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apital del SPNF al mes de </w:t>
      </w:r>
      <w:r w:rsidR="00724E84" w:rsidRPr="0001362C">
        <w:rPr>
          <w:rFonts w:ascii="Museo Sans 300" w:hAnsi="Museo Sans 300" w:cstheme="minorHAnsi"/>
          <w:sz w:val="22"/>
          <w:szCs w:val="22"/>
          <w:lang w:val="es-MX"/>
        </w:rPr>
        <w:t>marzo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de 202</w:t>
      </w:r>
      <w:r w:rsidR="00E22524" w:rsidRPr="0001362C">
        <w:rPr>
          <w:rFonts w:ascii="Museo Sans 300" w:hAnsi="Museo Sans 300" w:cstheme="minorHAnsi"/>
          <w:sz w:val="22"/>
          <w:szCs w:val="22"/>
          <w:lang w:val="es-MX"/>
        </w:rPr>
        <w:t>5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alcanzaron un monto de $</w:t>
      </w:r>
      <w:r w:rsidR="008C3428" w:rsidRPr="0001362C">
        <w:rPr>
          <w:rFonts w:ascii="Museo Sans 300" w:hAnsi="Museo Sans 300" w:cstheme="minorHAnsi"/>
          <w:sz w:val="22"/>
          <w:szCs w:val="22"/>
          <w:lang w:val="es-MX"/>
        </w:rPr>
        <w:t>372.2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millones, experimentando un</w:t>
      </w:r>
      <w:r w:rsidR="008C3428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aumento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de</w:t>
      </w:r>
      <w:r w:rsidR="008C3428" w:rsidRPr="0001362C">
        <w:rPr>
          <w:rFonts w:ascii="Museo Sans 300" w:hAnsi="Museo Sans 300" w:cstheme="minorHAnsi"/>
          <w:sz w:val="22"/>
          <w:szCs w:val="22"/>
          <w:lang w:val="es-MX"/>
        </w:rPr>
        <w:t>l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</w:t>
      </w:r>
      <w:r w:rsidR="008C3428" w:rsidRPr="0001362C">
        <w:rPr>
          <w:rFonts w:ascii="Museo Sans 300" w:hAnsi="Museo Sans 300" w:cstheme="minorHAnsi"/>
          <w:sz w:val="22"/>
          <w:szCs w:val="22"/>
          <w:lang w:val="es-MX"/>
        </w:rPr>
        <w:t>82.0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% con respecto a 202</w:t>
      </w:r>
      <w:r w:rsidR="00E22524" w:rsidRPr="0001362C">
        <w:rPr>
          <w:rFonts w:ascii="Museo Sans 300" w:hAnsi="Museo Sans 300" w:cstheme="minorHAnsi"/>
          <w:sz w:val="22"/>
          <w:szCs w:val="22"/>
          <w:lang w:val="es-MX"/>
        </w:rPr>
        <w:t>4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. La Inversión Pública del SPNF alcanzó un valor de $</w:t>
      </w:r>
      <w:r w:rsidR="008C3428" w:rsidRPr="0001362C">
        <w:rPr>
          <w:rFonts w:ascii="Museo Sans 300" w:hAnsi="Museo Sans 300" w:cstheme="minorHAnsi"/>
          <w:sz w:val="22"/>
          <w:szCs w:val="22"/>
          <w:lang w:val="es-MX"/>
        </w:rPr>
        <w:t>328.8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millones, con un</w:t>
      </w:r>
      <w:r w:rsidR="008C3428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aumento 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de $</w:t>
      </w:r>
      <w:r w:rsidR="008C3428" w:rsidRPr="0001362C">
        <w:rPr>
          <w:rFonts w:ascii="Museo Sans 300" w:hAnsi="Museo Sans 300" w:cstheme="minorHAnsi"/>
          <w:sz w:val="22"/>
          <w:szCs w:val="22"/>
          <w:lang w:val="es-MX"/>
        </w:rPr>
        <w:t>142.0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lastRenderedPageBreak/>
        <w:t xml:space="preserve">millones, con respecto </w:t>
      </w:r>
      <w:r w:rsidR="00724E84" w:rsidRPr="0001362C">
        <w:rPr>
          <w:rFonts w:ascii="Museo Sans 300" w:hAnsi="Museo Sans 300" w:cstheme="minorHAnsi"/>
          <w:sz w:val="22"/>
          <w:szCs w:val="22"/>
          <w:lang w:val="es-MX"/>
        </w:rPr>
        <w:t>a marzo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202</w:t>
      </w:r>
      <w:r w:rsidR="00E22524" w:rsidRPr="0001362C">
        <w:rPr>
          <w:rFonts w:ascii="Museo Sans 300" w:hAnsi="Museo Sans 300" w:cstheme="minorHAnsi"/>
          <w:sz w:val="22"/>
          <w:szCs w:val="22"/>
          <w:lang w:val="es-MX"/>
        </w:rPr>
        <w:t>4</w:t>
      </w:r>
      <w:r w:rsidR="008269EE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. La inversión ejecutada en el primer trimestre representa </w:t>
      </w:r>
      <w:r w:rsidR="008C3428" w:rsidRPr="0001362C">
        <w:rPr>
          <w:rFonts w:ascii="Museo Sans 300" w:hAnsi="Museo Sans 300" w:cstheme="minorHAnsi"/>
          <w:sz w:val="22"/>
          <w:szCs w:val="22"/>
          <w:lang w:val="es-MX"/>
        </w:rPr>
        <w:t>0.9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% del PIB</w:t>
      </w:r>
      <w:r w:rsidR="008269EE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preliminar a 2025.</w:t>
      </w:r>
    </w:p>
    <w:p w14:paraId="10529D43" w14:textId="77777777" w:rsidR="000E7ED7" w:rsidRPr="0001362C" w:rsidRDefault="000E7ED7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</w:p>
    <w:p w14:paraId="4D191E55" w14:textId="1D24847A" w:rsidR="00EE0EA8" w:rsidRPr="0001362C" w:rsidRDefault="000E7ED7" w:rsidP="00055C62">
      <w:pPr>
        <w:spacing w:after="240"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La deuda del SPNF sin pensiones al mes de </w:t>
      </w:r>
      <w:r w:rsidR="00724E84" w:rsidRPr="0001362C">
        <w:rPr>
          <w:rFonts w:ascii="Museo Sans 300" w:hAnsi="Museo Sans 300" w:cstheme="minorHAnsi"/>
          <w:sz w:val="22"/>
          <w:szCs w:val="22"/>
          <w:lang w:val="es-MX"/>
        </w:rPr>
        <w:t>marzo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de 202</w:t>
      </w:r>
      <w:r w:rsidR="00724E84" w:rsidRPr="0001362C">
        <w:rPr>
          <w:rFonts w:ascii="Museo Sans 300" w:hAnsi="Museo Sans 300" w:cstheme="minorHAnsi"/>
          <w:sz w:val="22"/>
          <w:szCs w:val="22"/>
          <w:lang w:val="es-MX"/>
        </w:rPr>
        <w:t>5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ascendió a $</w:t>
      </w:r>
      <w:r w:rsidR="007448A8" w:rsidRPr="0001362C">
        <w:rPr>
          <w:rFonts w:ascii="Museo Sans 300" w:hAnsi="Museo Sans 300" w:cstheme="minorHAnsi"/>
          <w:sz w:val="22"/>
          <w:szCs w:val="22"/>
          <w:lang w:val="es-MX"/>
        </w:rPr>
        <w:t>20,</w:t>
      </w:r>
      <w:r w:rsidR="008C3428" w:rsidRPr="0001362C">
        <w:rPr>
          <w:rFonts w:ascii="Museo Sans 300" w:hAnsi="Museo Sans 300" w:cstheme="minorHAnsi"/>
          <w:sz w:val="22"/>
          <w:szCs w:val="22"/>
          <w:lang w:val="es-MX"/>
        </w:rPr>
        <w:t>513.7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millones, equivalente a 5</w:t>
      </w:r>
      <w:r w:rsidR="008C3428" w:rsidRPr="0001362C">
        <w:rPr>
          <w:rFonts w:ascii="Museo Sans 300" w:hAnsi="Museo Sans 300" w:cstheme="minorHAnsi"/>
          <w:sz w:val="22"/>
          <w:szCs w:val="22"/>
          <w:lang w:val="es-MX"/>
        </w:rPr>
        <w:t>5.9</w:t>
      </w:r>
      <w:r w:rsidR="007448A8" w:rsidRPr="0001362C">
        <w:rPr>
          <w:rFonts w:ascii="Museo Sans 300" w:hAnsi="Museo Sans 300" w:cstheme="minorHAnsi"/>
          <w:sz w:val="22"/>
          <w:szCs w:val="22"/>
          <w:lang w:val="es-MX"/>
        </w:rPr>
        <w:t>%</w:t>
      </w:r>
      <w:r w:rsidR="008C279D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del PIB. Este valor está compuesto por $12,</w:t>
      </w:r>
      <w:r w:rsidR="007448A8" w:rsidRPr="0001362C">
        <w:rPr>
          <w:rFonts w:ascii="Museo Sans 300" w:hAnsi="Museo Sans 300" w:cstheme="minorHAnsi"/>
          <w:sz w:val="22"/>
          <w:szCs w:val="22"/>
          <w:lang w:val="es-MX"/>
        </w:rPr>
        <w:t>9</w:t>
      </w:r>
      <w:r w:rsidR="008C3428" w:rsidRPr="0001362C">
        <w:rPr>
          <w:rFonts w:ascii="Museo Sans 300" w:hAnsi="Museo Sans 300" w:cstheme="minorHAnsi"/>
          <w:sz w:val="22"/>
          <w:szCs w:val="22"/>
          <w:lang w:val="es-MX"/>
        </w:rPr>
        <w:t>99.0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 que corresponden a deuda externa, </w:t>
      </w:r>
      <w:r w:rsidR="008269EE" w:rsidRPr="0001362C">
        <w:rPr>
          <w:rFonts w:ascii="Museo Sans 300" w:hAnsi="Museo Sans 300" w:cstheme="minorHAnsi"/>
          <w:sz w:val="22"/>
          <w:szCs w:val="22"/>
          <w:lang w:val="es-MX"/>
        </w:rPr>
        <w:t>equivalente a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3</w:t>
      </w:r>
      <w:r w:rsidR="008C3428" w:rsidRPr="0001362C">
        <w:rPr>
          <w:rFonts w:ascii="Museo Sans 300" w:hAnsi="Museo Sans 300" w:cstheme="minorHAnsi"/>
          <w:sz w:val="22"/>
          <w:szCs w:val="22"/>
          <w:lang w:val="es-MX"/>
        </w:rPr>
        <w:t>5.4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% del PIB y $7,</w:t>
      </w:r>
      <w:r w:rsidR="004712F9" w:rsidRPr="0001362C">
        <w:rPr>
          <w:rFonts w:ascii="Museo Sans 300" w:hAnsi="Museo Sans 300" w:cstheme="minorHAnsi"/>
          <w:sz w:val="22"/>
          <w:szCs w:val="22"/>
          <w:lang w:val="es-MX"/>
        </w:rPr>
        <w:t>514.7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 correspondientes a deuda interna, equivalente a un 2</w:t>
      </w:r>
      <w:r w:rsidR="004712F9" w:rsidRPr="0001362C">
        <w:rPr>
          <w:rFonts w:ascii="Museo Sans 300" w:hAnsi="Museo Sans 300" w:cstheme="minorHAnsi"/>
          <w:sz w:val="22"/>
          <w:szCs w:val="22"/>
          <w:lang w:val="es-MX"/>
        </w:rPr>
        <w:t>0.5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% del PIB.</w:t>
      </w:r>
    </w:p>
    <w:p w14:paraId="24E26791" w14:textId="5E62930E" w:rsidR="00F11962" w:rsidRPr="0001362C" w:rsidRDefault="00F11962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</w:rPr>
      </w:pPr>
    </w:p>
    <w:p w14:paraId="1CABEC30" w14:textId="77777777" w:rsidR="003065E6" w:rsidRPr="0001362C" w:rsidRDefault="003065E6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</w:rPr>
      </w:pPr>
    </w:p>
    <w:p w14:paraId="0A909DFF" w14:textId="77777777" w:rsidR="003065E6" w:rsidRPr="0001362C" w:rsidRDefault="003065E6" w:rsidP="00E61B3F">
      <w:pPr>
        <w:spacing w:after="200" w:line="276" w:lineRule="auto"/>
        <w:jc w:val="both"/>
        <w:rPr>
          <w:rFonts w:ascii="Museo Sans 300" w:hAnsi="Museo Sans 300" w:cstheme="minorHAnsi"/>
          <w:sz w:val="22"/>
          <w:szCs w:val="22"/>
        </w:rPr>
      </w:pPr>
    </w:p>
    <w:p w14:paraId="6909E7B9" w14:textId="77777777" w:rsidR="002309FE" w:rsidRPr="0001362C" w:rsidRDefault="006E53FC" w:rsidP="00E61B3F">
      <w:pPr>
        <w:spacing w:after="200"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sz w:val="22"/>
          <w:szCs w:val="22"/>
          <w:lang w:val="es-MX"/>
        </w:rPr>
        <w:br w:type="page"/>
      </w:r>
    </w:p>
    <w:p w14:paraId="3C0B84DD" w14:textId="1CFAF0FF" w:rsidR="000E7ED7" w:rsidRPr="0001362C" w:rsidRDefault="000E7ED7" w:rsidP="000E0053">
      <w:pPr>
        <w:pStyle w:val="Ttulo1"/>
        <w:jc w:val="center"/>
        <w:rPr>
          <w:rFonts w:ascii="Museo Sans 300" w:hAnsi="Museo Sans 300" w:cstheme="minorHAnsi"/>
          <w:sz w:val="22"/>
          <w:szCs w:val="22"/>
        </w:rPr>
      </w:pPr>
      <w:bookmarkStart w:id="7" w:name="_Toc169162407"/>
      <w:bookmarkStart w:id="8" w:name="_Toc205889700"/>
      <w:r w:rsidRPr="0001362C">
        <w:rPr>
          <w:rFonts w:ascii="Museo Sans 300" w:hAnsi="Museo Sans 300" w:cstheme="minorHAnsi"/>
          <w:sz w:val="22"/>
          <w:szCs w:val="22"/>
        </w:rPr>
        <w:lastRenderedPageBreak/>
        <w:t>GESTI</w:t>
      </w:r>
      <w:r w:rsidR="00A34215" w:rsidRPr="0001362C">
        <w:rPr>
          <w:rFonts w:ascii="Museo Sans 300" w:hAnsi="Museo Sans 300" w:cstheme="minorHAnsi"/>
          <w:sz w:val="22"/>
          <w:szCs w:val="22"/>
        </w:rPr>
        <w:t>Ó</w:t>
      </w:r>
      <w:r w:rsidRPr="0001362C">
        <w:rPr>
          <w:rFonts w:ascii="Museo Sans 300" w:hAnsi="Museo Sans 300" w:cstheme="minorHAnsi"/>
          <w:sz w:val="22"/>
          <w:szCs w:val="22"/>
        </w:rPr>
        <w:t>N DE LAS FINANZAS PÚBLICAS</w:t>
      </w:r>
      <w:bookmarkEnd w:id="7"/>
      <w:bookmarkEnd w:id="8"/>
    </w:p>
    <w:p w14:paraId="20F4F844" w14:textId="77777777" w:rsidR="000E7ED7" w:rsidRPr="0001362C" w:rsidRDefault="000E7ED7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bookmarkStart w:id="9" w:name="_Toc411843460"/>
    </w:p>
    <w:p w14:paraId="70E50458" w14:textId="2A954820" w:rsidR="000E7ED7" w:rsidRPr="0001362C" w:rsidRDefault="000E7ED7" w:rsidP="006E53FC">
      <w:pPr>
        <w:pStyle w:val="Ttulo2"/>
        <w:spacing w:line="480" w:lineRule="auto"/>
        <w:rPr>
          <w:rFonts w:ascii="Museo Sans 300" w:hAnsi="Museo Sans 300" w:cstheme="minorHAnsi"/>
          <w:szCs w:val="22"/>
          <w:lang w:val="es-MX"/>
        </w:rPr>
      </w:pPr>
      <w:bookmarkStart w:id="10" w:name="_Toc505951454"/>
      <w:bookmarkStart w:id="11" w:name="_Toc205889701"/>
      <w:bookmarkStart w:id="12" w:name="_Toc56581204"/>
      <w:bookmarkStart w:id="13" w:name="_Toc169162408"/>
      <w:r w:rsidRPr="0001362C">
        <w:rPr>
          <w:rFonts w:ascii="Museo Sans 300" w:hAnsi="Museo Sans 300" w:cstheme="minorHAnsi"/>
          <w:szCs w:val="22"/>
          <w:lang w:val="es-MX"/>
        </w:rPr>
        <w:t>1. Ingresos Totales</w:t>
      </w:r>
      <w:bookmarkEnd w:id="9"/>
      <w:bookmarkEnd w:id="10"/>
      <w:r w:rsidRPr="0001362C">
        <w:rPr>
          <w:rFonts w:ascii="Museo Sans 300" w:hAnsi="Museo Sans 300" w:cstheme="minorHAnsi"/>
          <w:szCs w:val="22"/>
          <w:lang w:val="es-MX"/>
        </w:rPr>
        <w:t xml:space="preserve"> del SPNF</w:t>
      </w:r>
      <w:r w:rsidR="00076592" w:rsidRPr="0001362C">
        <w:rPr>
          <w:rStyle w:val="Refdenotaalpie"/>
          <w:rFonts w:ascii="Museo Sans 300" w:hAnsi="Museo Sans 300" w:cstheme="minorHAnsi"/>
          <w:szCs w:val="22"/>
          <w:lang w:val="es-MX"/>
        </w:rPr>
        <w:footnoteReference w:id="1"/>
      </w:r>
      <w:bookmarkEnd w:id="11"/>
      <w:r w:rsidRPr="0001362C">
        <w:rPr>
          <w:rFonts w:ascii="Museo Sans 300" w:hAnsi="Museo Sans 300" w:cstheme="minorHAnsi"/>
          <w:szCs w:val="22"/>
          <w:lang w:val="es-MX"/>
        </w:rPr>
        <w:t xml:space="preserve"> </w:t>
      </w:r>
      <w:bookmarkEnd w:id="12"/>
      <w:bookmarkEnd w:id="13"/>
    </w:p>
    <w:p w14:paraId="1CE4944A" w14:textId="238752F8" w:rsidR="000E7ED7" w:rsidRPr="0001362C" w:rsidRDefault="000E7ED7" w:rsidP="00E61B3F">
      <w:pPr>
        <w:spacing w:line="276" w:lineRule="auto"/>
        <w:ind w:right="-34"/>
        <w:jc w:val="both"/>
        <w:rPr>
          <w:rFonts w:ascii="Museo Sans 300" w:hAnsi="Museo Sans 300" w:cstheme="minorHAnsi"/>
          <w:sz w:val="22"/>
          <w:szCs w:val="22"/>
          <w:lang w:val="es-MX"/>
        </w:rPr>
      </w:pPr>
      <w:bookmarkStart w:id="14" w:name="_Hlk128488275"/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Los ingresos totales </w:t>
      </w:r>
      <w:r w:rsidR="00724E84" w:rsidRPr="0001362C">
        <w:rPr>
          <w:rFonts w:ascii="Museo Sans 300" w:hAnsi="Museo Sans 300" w:cstheme="minorHAnsi"/>
          <w:sz w:val="22"/>
          <w:szCs w:val="22"/>
          <w:lang w:val="es-MX"/>
        </w:rPr>
        <w:t>a marzo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de 202</w:t>
      </w:r>
      <w:r w:rsidR="00E22524" w:rsidRPr="0001362C">
        <w:rPr>
          <w:rFonts w:ascii="Museo Sans 300" w:hAnsi="Museo Sans 300" w:cstheme="minorHAnsi"/>
          <w:sz w:val="22"/>
          <w:szCs w:val="22"/>
          <w:lang w:val="es-MX"/>
        </w:rPr>
        <w:t>5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ascendieron a $</w:t>
      </w:r>
      <w:r w:rsidR="0076425C" w:rsidRPr="0001362C">
        <w:rPr>
          <w:rFonts w:ascii="Museo Sans 300" w:hAnsi="Museo Sans 300" w:cstheme="minorHAnsi"/>
          <w:sz w:val="22"/>
          <w:szCs w:val="22"/>
          <w:lang w:val="es-MX"/>
        </w:rPr>
        <w:t>2,236.9</w:t>
      </w:r>
      <w:r w:rsidR="000D7E4A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millones, mostrando un aumento de </w:t>
      </w:r>
      <w:r w:rsidR="0076425C" w:rsidRPr="0001362C">
        <w:rPr>
          <w:rFonts w:ascii="Museo Sans 300" w:hAnsi="Museo Sans 300" w:cstheme="minorHAnsi"/>
          <w:sz w:val="22"/>
          <w:szCs w:val="22"/>
          <w:lang w:val="es-MX"/>
        </w:rPr>
        <w:t>2.6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%, equivalente a $</w:t>
      </w:r>
      <w:r w:rsidR="0076425C" w:rsidRPr="0001362C">
        <w:rPr>
          <w:rFonts w:ascii="Museo Sans 300" w:hAnsi="Museo Sans 300" w:cstheme="minorHAnsi"/>
          <w:sz w:val="22"/>
          <w:szCs w:val="22"/>
          <w:lang w:val="es-MX"/>
        </w:rPr>
        <w:t>57.7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millones, con respecto </w:t>
      </w:r>
      <w:r w:rsidR="00724E84" w:rsidRPr="0001362C">
        <w:rPr>
          <w:rFonts w:ascii="Museo Sans 300" w:hAnsi="Museo Sans 300" w:cstheme="minorHAnsi"/>
          <w:sz w:val="22"/>
          <w:szCs w:val="22"/>
          <w:lang w:val="es-MX"/>
        </w:rPr>
        <w:t>a marzo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de 202</w:t>
      </w:r>
      <w:r w:rsidR="00B6261C" w:rsidRPr="0001362C">
        <w:rPr>
          <w:rFonts w:ascii="Museo Sans 300" w:hAnsi="Museo Sans 300" w:cstheme="minorHAnsi"/>
          <w:sz w:val="22"/>
          <w:szCs w:val="22"/>
          <w:lang w:val="es-MX"/>
        </w:rPr>
        <w:t>4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, determinado </w:t>
      </w:r>
      <w:r w:rsidR="008D26F9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principalmente 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por incrementos en los ingresos tributarios. Como porcentaje del PIB, los ingresos totales representaron un </w:t>
      </w:r>
      <w:r w:rsidR="0076425C" w:rsidRPr="0001362C">
        <w:rPr>
          <w:rFonts w:ascii="Museo Sans 300" w:hAnsi="Museo Sans 300" w:cstheme="minorHAnsi"/>
          <w:sz w:val="22"/>
          <w:szCs w:val="22"/>
          <w:lang w:val="es-MX"/>
        </w:rPr>
        <w:t>6.1</w:t>
      </w:r>
      <w:r w:rsidR="00A34215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puntos porcentuales. </w:t>
      </w:r>
    </w:p>
    <w:p w14:paraId="08199927" w14:textId="77777777" w:rsidR="000E7ED7" w:rsidRPr="0001362C" w:rsidRDefault="000E7ED7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</w:p>
    <w:bookmarkEnd w:id="14"/>
    <w:p w14:paraId="76A60098" w14:textId="70AE7C87" w:rsidR="000E7ED7" w:rsidRPr="0001362C" w:rsidRDefault="000E7ED7" w:rsidP="003D42CA">
      <w:pPr>
        <w:spacing w:after="240"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Gráfico 1: Evolución de los Ingresos Totales del SPNF </w:t>
      </w:r>
      <w:r w:rsidR="00724E84" w:rsidRPr="0001362C">
        <w:rPr>
          <w:rFonts w:ascii="Museo Sans 300" w:hAnsi="Museo Sans 300" w:cstheme="minorHAnsi"/>
          <w:i/>
          <w:sz w:val="22"/>
          <w:szCs w:val="22"/>
          <w:lang w:val="es-MX"/>
        </w:rPr>
        <w:t>a marzo</w:t>
      </w: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 20</w:t>
      </w:r>
      <w:r w:rsidR="000A13D8" w:rsidRPr="0001362C">
        <w:rPr>
          <w:rFonts w:ascii="Museo Sans 300" w:hAnsi="Museo Sans 300" w:cstheme="minorHAnsi"/>
          <w:i/>
          <w:sz w:val="22"/>
          <w:szCs w:val="22"/>
          <w:lang w:val="es-MX"/>
        </w:rPr>
        <w:t>20</w:t>
      </w: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 -202</w:t>
      </w:r>
      <w:r w:rsidR="00B6261C" w:rsidRPr="0001362C">
        <w:rPr>
          <w:rFonts w:ascii="Museo Sans 300" w:hAnsi="Museo Sans 300" w:cstheme="minorHAnsi"/>
          <w:i/>
          <w:sz w:val="22"/>
          <w:szCs w:val="22"/>
          <w:lang w:val="es-MX"/>
        </w:rPr>
        <w:t>5</w:t>
      </w:r>
      <w:bookmarkStart w:id="15" w:name="_Toc411843461"/>
      <w:bookmarkStart w:id="16" w:name="_Toc56581205"/>
    </w:p>
    <w:p w14:paraId="70EC35A2" w14:textId="02103F62" w:rsidR="003D42CA" w:rsidRPr="0001362C" w:rsidRDefault="003D42CA" w:rsidP="003D42CA">
      <w:pPr>
        <w:spacing w:after="240"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  <w:r w:rsidRPr="0001362C">
        <w:rPr>
          <w:rFonts w:ascii="Museo Sans 300" w:hAnsi="Museo Sans 300"/>
          <w:noProof/>
          <w:sz w:val="22"/>
          <w:szCs w:val="22"/>
        </w:rPr>
        <w:drawing>
          <wp:inline distT="0" distB="0" distL="0" distR="0" wp14:anchorId="445C55D0" wp14:editId="2D427CDF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B9E13CA" w14:textId="77777777" w:rsidR="00087BC6" w:rsidRPr="0001362C" w:rsidRDefault="00087BC6" w:rsidP="00087BC6">
      <w:pPr>
        <w:spacing w:line="276" w:lineRule="auto"/>
        <w:rPr>
          <w:rFonts w:ascii="Museo Sans 300" w:hAnsi="Museo Sans 300" w:cstheme="minorHAnsi"/>
          <w:sz w:val="18"/>
          <w:szCs w:val="18"/>
          <w:lang w:val="es-MX"/>
        </w:rPr>
      </w:pPr>
      <w:r w:rsidRPr="0001362C">
        <w:rPr>
          <w:rFonts w:ascii="Museo Sans 300" w:hAnsi="Museo Sans 300" w:cstheme="minorHAnsi"/>
          <w:sz w:val="18"/>
          <w:szCs w:val="18"/>
          <w:lang w:val="es-MX"/>
        </w:rPr>
        <w:t>Fuente: Ministerio de Hacienda</w:t>
      </w:r>
    </w:p>
    <w:p w14:paraId="1EB046EF" w14:textId="77777777" w:rsidR="00087BC6" w:rsidRPr="0001362C" w:rsidRDefault="00087BC6" w:rsidP="00087BC6">
      <w:pPr>
        <w:rPr>
          <w:rFonts w:ascii="Museo Sans 300" w:hAnsi="Museo Sans 300"/>
          <w:sz w:val="22"/>
          <w:szCs w:val="22"/>
          <w:lang w:val="es-MX"/>
        </w:rPr>
      </w:pPr>
    </w:p>
    <w:p w14:paraId="799DF2C7" w14:textId="77777777" w:rsidR="000E7ED7" w:rsidRPr="0001362C" w:rsidRDefault="000E7ED7" w:rsidP="006E53FC">
      <w:pPr>
        <w:pStyle w:val="Ttulo3"/>
        <w:spacing w:line="480" w:lineRule="auto"/>
        <w:rPr>
          <w:rFonts w:ascii="Museo Sans 300" w:hAnsi="Museo Sans 300" w:cstheme="minorHAnsi"/>
          <w:b w:val="0"/>
          <w:szCs w:val="22"/>
          <w:lang w:val="es-MX"/>
        </w:rPr>
      </w:pPr>
      <w:bookmarkStart w:id="17" w:name="_Toc169162409"/>
      <w:bookmarkStart w:id="18" w:name="_Toc205889702"/>
      <w:r w:rsidRPr="0001362C">
        <w:rPr>
          <w:rFonts w:ascii="Museo Sans 300" w:hAnsi="Museo Sans 300" w:cstheme="minorHAnsi"/>
          <w:szCs w:val="22"/>
          <w:lang w:val="es-MX"/>
        </w:rPr>
        <w:t>1.1 Ingresos Tributarios</w:t>
      </w:r>
      <w:bookmarkEnd w:id="15"/>
      <w:bookmarkEnd w:id="16"/>
      <w:r w:rsidRPr="0001362C">
        <w:rPr>
          <w:rFonts w:ascii="Museo Sans 300" w:hAnsi="Museo Sans 300" w:cstheme="minorHAnsi"/>
          <w:szCs w:val="22"/>
          <w:lang w:val="es-MX"/>
        </w:rPr>
        <w:t xml:space="preserve"> y Contribuciones Especiales</w:t>
      </w:r>
      <w:bookmarkEnd w:id="17"/>
      <w:bookmarkEnd w:id="18"/>
    </w:p>
    <w:p w14:paraId="3B77A558" w14:textId="6848B825" w:rsidR="000E7ED7" w:rsidRPr="0001362C" w:rsidRDefault="000E7ED7" w:rsidP="00E61B3F">
      <w:pPr>
        <w:spacing w:line="276" w:lineRule="auto"/>
        <w:ind w:right="-34"/>
        <w:jc w:val="both"/>
        <w:rPr>
          <w:rFonts w:ascii="Museo Sans 300" w:hAnsi="Museo Sans 300" w:cstheme="minorHAnsi"/>
          <w:sz w:val="22"/>
          <w:szCs w:val="22"/>
          <w:lang w:val="es-MX"/>
        </w:rPr>
      </w:pPr>
      <w:bookmarkStart w:id="19" w:name="_Hlk190435100"/>
      <w:bookmarkStart w:id="20" w:name="_Hlk128488333"/>
      <w:r w:rsidRPr="0001362C">
        <w:rPr>
          <w:rFonts w:ascii="Museo Sans 300" w:hAnsi="Museo Sans 300" w:cstheme="minorHAnsi"/>
          <w:sz w:val="22"/>
          <w:szCs w:val="22"/>
          <w:lang w:val="es-MX"/>
        </w:rPr>
        <w:t>La recaudación tributaria alcanzó un monto de $</w:t>
      </w:r>
      <w:r w:rsidR="00911BEA" w:rsidRPr="0001362C">
        <w:rPr>
          <w:rFonts w:ascii="Museo Sans 300" w:hAnsi="Museo Sans 300" w:cstheme="minorHAnsi"/>
          <w:sz w:val="22"/>
          <w:szCs w:val="22"/>
          <w:lang w:val="es-MX"/>
        </w:rPr>
        <w:t>1,885.3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millones, con un aumento de $</w:t>
      </w:r>
      <w:r w:rsidR="00911BEA" w:rsidRPr="0001362C">
        <w:rPr>
          <w:rFonts w:ascii="Museo Sans 300" w:hAnsi="Museo Sans 300" w:cstheme="minorHAnsi"/>
          <w:sz w:val="22"/>
          <w:szCs w:val="22"/>
          <w:lang w:val="es-MX"/>
        </w:rPr>
        <w:t>57.4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 (</w:t>
      </w:r>
      <w:r w:rsidR="00911BEA" w:rsidRPr="0001362C">
        <w:rPr>
          <w:rFonts w:ascii="Museo Sans 300" w:hAnsi="Museo Sans 300" w:cstheme="minorHAnsi"/>
          <w:sz w:val="22"/>
          <w:szCs w:val="22"/>
          <w:lang w:val="es-MX"/>
        </w:rPr>
        <w:t>3.1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%) con respecto </w:t>
      </w:r>
      <w:r w:rsidR="00724E84" w:rsidRPr="0001362C">
        <w:rPr>
          <w:rFonts w:ascii="Museo Sans 300" w:hAnsi="Museo Sans 300" w:cstheme="minorHAnsi"/>
          <w:sz w:val="22"/>
          <w:szCs w:val="22"/>
          <w:lang w:val="es-MX"/>
        </w:rPr>
        <w:t>a marzo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202</w:t>
      </w:r>
      <w:r w:rsidR="00E22524" w:rsidRPr="0001362C">
        <w:rPr>
          <w:rFonts w:ascii="Museo Sans 300" w:hAnsi="Museo Sans 300" w:cstheme="minorHAnsi"/>
          <w:sz w:val="22"/>
          <w:szCs w:val="22"/>
          <w:lang w:val="es-MX"/>
        </w:rPr>
        <w:t>4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. Dicho incremento está determinado por la continuidad de las medidas </w:t>
      </w:r>
      <w:r w:rsidR="00677617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de fiscalización y administración tributaria: 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la ejecución de planes de fiscalización para combatir la evasión y el contrabando,</w:t>
      </w:r>
      <w:r w:rsidR="0070292C" w:rsidRPr="0001362C">
        <w:rPr>
          <w:rFonts w:ascii="Museo Sans 300" w:hAnsi="Museo Sans 300"/>
          <w:noProof/>
          <w:sz w:val="22"/>
          <w:szCs w:val="22"/>
        </w:rPr>
        <w:t xml:space="preserve"> rendimientos de las amnistias fiscales implementadas en 2024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y la facturación electrónica</w:t>
      </w:r>
      <w:r w:rsidR="00677617" w:rsidRPr="0001362C">
        <w:rPr>
          <w:rFonts w:ascii="Museo Sans 300" w:hAnsi="Museo Sans 300" w:cstheme="minorHAnsi"/>
          <w:sz w:val="22"/>
          <w:szCs w:val="22"/>
          <w:lang w:val="es-MX"/>
        </w:rPr>
        <w:t>.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</w:t>
      </w:r>
    </w:p>
    <w:bookmarkEnd w:id="19"/>
    <w:p w14:paraId="780EEDEB" w14:textId="77777777" w:rsidR="000E7ED7" w:rsidRPr="0001362C" w:rsidRDefault="000E7ED7" w:rsidP="00E61B3F">
      <w:pPr>
        <w:spacing w:line="276" w:lineRule="auto"/>
        <w:ind w:left="-30" w:hanging="4"/>
        <w:jc w:val="both"/>
        <w:rPr>
          <w:rFonts w:ascii="Museo Sans 300" w:hAnsi="Museo Sans 300" w:cstheme="minorHAnsi"/>
          <w:sz w:val="22"/>
          <w:szCs w:val="22"/>
          <w:lang w:val="es-MX"/>
        </w:rPr>
      </w:pPr>
    </w:p>
    <w:bookmarkEnd w:id="20"/>
    <w:p w14:paraId="6FCA3F1D" w14:textId="40AA9C49" w:rsidR="000D7E4A" w:rsidRPr="0001362C" w:rsidRDefault="000E7ED7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En la ejecución de la recaudación tributaria destacan los rendimientos de los impuestos de IVA y Renta </w:t>
      </w:r>
      <w:r w:rsidR="00573F4A">
        <w:rPr>
          <w:rFonts w:ascii="Museo Sans 300" w:hAnsi="Museo Sans 300" w:cstheme="minorHAnsi"/>
          <w:sz w:val="22"/>
          <w:szCs w:val="22"/>
          <w:lang w:val="es-MX"/>
        </w:rPr>
        <w:t xml:space="preserve">los cuales registraron en conjunto un monto de </w:t>
      </w:r>
      <w:r w:rsidR="000D7E4A" w:rsidRPr="0001362C">
        <w:rPr>
          <w:rFonts w:ascii="Museo Sans 300" w:hAnsi="Museo Sans 300" w:cstheme="minorHAnsi"/>
          <w:sz w:val="22"/>
          <w:szCs w:val="22"/>
          <w:lang w:val="es-MX"/>
        </w:rPr>
        <w:t>$</w:t>
      </w:r>
      <w:r w:rsidR="00911BEA" w:rsidRPr="0001362C">
        <w:rPr>
          <w:rFonts w:ascii="Museo Sans 300" w:hAnsi="Museo Sans 300" w:cstheme="minorHAnsi"/>
          <w:sz w:val="22"/>
          <w:szCs w:val="22"/>
          <w:lang w:val="es-MX"/>
        </w:rPr>
        <w:t>1,663.3</w:t>
      </w:r>
      <w:r w:rsidR="000D7E4A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millones, equivalente al 88.2% del total</w:t>
      </w:r>
      <w:r w:rsidR="0093208D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de los ingresos tributarios</w:t>
      </w:r>
      <w:r w:rsidR="000D7E4A" w:rsidRPr="0001362C">
        <w:rPr>
          <w:rFonts w:ascii="Museo Sans 300" w:hAnsi="Museo Sans 300" w:cstheme="minorHAnsi"/>
          <w:sz w:val="22"/>
          <w:szCs w:val="22"/>
          <w:lang w:val="es-MX"/>
        </w:rPr>
        <w:t>.</w:t>
      </w:r>
    </w:p>
    <w:p w14:paraId="3CE4275C" w14:textId="77777777" w:rsidR="000E7ED7" w:rsidRPr="0001362C" w:rsidRDefault="000E7ED7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</w:p>
    <w:p w14:paraId="17C6B696" w14:textId="77777777" w:rsidR="000E7ED7" w:rsidRPr="0001362C" w:rsidRDefault="000E7ED7" w:rsidP="00E61B3F">
      <w:pPr>
        <w:spacing w:line="276" w:lineRule="auto"/>
        <w:ind w:right="-34"/>
        <w:jc w:val="both"/>
        <w:rPr>
          <w:rFonts w:ascii="Museo Sans 300" w:hAnsi="Museo Sans 300" w:cstheme="minorHAnsi"/>
          <w:color w:val="FF0000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Como resultado de lo anterior, el coeficiente de tributación con relación al PIB fue equivalente a </w:t>
      </w:r>
      <w:r w:rsidR="00911BEA" w:rsidRPr="0001362C">
        <w:rPr>
          <w:rFonts w:ascii="Museo Sans 300" w:hAnsi="Museo Sans 300" w:cstheme="minorHAnsi"/>
          <w:sz w:val="22"/>
          <w:szCs w:val="22"/>
          <w:lang w:val="es-MX"/>
        </w:rPr>
        <w:t>5.1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%</w:t>
      </w:r>
      <w:r w:rsidR="00911BEA" w:rsidRPr="0001362C">
        <w:rPr>
          <w:rFonts w:ascii="Museo Sans 300" w:hAnsi="Museo Sans 300" w:cstheme="minorHAnsi"/>
          <w:sz w:val="22"/>
          <w:szCs w:val="22"/>
          <w:lang w:val="es-MX"/>
        </w:rPr>
        <w:t>.</w:t>
      </w:r>
    </w:p>
    <w:p w14:paraId="3D575AE1" w14:textId="77777777" w:rsidR="000E7ED7" w:rsidRPr="0001362C" w:rsidRDefault="000E7ED7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</w:p>
    <w:p w14:paraId="5B464107" w14:textId="77777777" w:rsidR="000E7ED7" w:rsidRPr="0001362C" w:rsidRDefault="000E7ED7" w:rsidP="00055C62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Gráfico 2: Ingresos tributarios del SPNF </w:t>
      </w:r>
      <w:r w:rsidR="00724E84" w:rsidRPr="0001362C">
        <w:rPr>
          <w:rFonts w:ascii="Museo Sans 300" w:hAnsi="Museo Sans 300" w:cstheme="minorHAnsi"/>
          <w:i/>
          <w:sz w:val="22"/>
          <w:szCs w:val="22"/>
          <w:lang w:val="es-MX"/>
        </w:rPr>
        <w:t>a marzo</w:t>
      </w: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 20</w:t>
      </w:r>
      <w:r w:rsidR="000A13D8" w:rsidRPr="0001362C">
        <w:rPr>
          <w:rFonts w:ascii="Museo Sans 300" w:hAnsi="Museo Sans 300" w:cstheme="minorHAnsi"/>
          <w:i/>
          <w:sz w:val="22"/>
          <w:szCs w:val="22"/>
          <w:lang w:val="es-MX"/>
        </w:rPr>
        <w:t>20</w:t>
      </w: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 -202</w:t>
      </w:r>
      <w:r w:rsidR="00FF42D1" w:rsidRPr="0001362C">
        <w:rPr>
          <w:rFonts w:ascii="Museo Sans 300" w:hAnsi="Museo Sans 300" w:cstheme="minorHAnsi"/>
          <w:i/>
          <w:sz w:val="22"/>
          <w:szCs w:val="22"/>
          <w:lang w:val="es-MX"/>
        </w:rPr>
        <w:t>5</w:t>
      </w:r>
    </w:p>
    <w:p w14:paraId="31399AD6" w14:textId="1226BC8D" w:rsidR="000E7ED7" w:rsidRPr="0001362C" w:rsidRDefault="000E7ED7" w:rsidP="00E61B3F">
      <w:pPr>
        <w:spacing w:line="276" w:lineRule="auto"/>
        <w:jc w:val="center"/>
        <w:rPr>
          <w:rFonts w:ascii="Museo Sans 300" w:hAnsi="Museo Sans 300" w:cstheme="minorHAnsi"/>
          <w:sz w:val="22"/>
          <w:szCs w:val="22"/>
          <w:lang w:val="es-MX"/>
        </w:rPr>
      </w:pPr>
    </w:p>
    <w:p w14:paraId="09F5CFCC" w14:textId="30FFDF40" w:rsidR="009A5107" w:rsidRPr="0001362C" w:rsidRDefault="003D42CA" w:rsidP="00087BC6">
      <w:pPr>
        <w:spacing w:line="276" w:lineRule="auto"/>
        <w:jc w:val="center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/>
          <w:noProof/>
          <w:sz w:val="22"/>
          <w:szCs w:val="22"/>
        </w:rPr>
        <w:drawing>
          <wp:inline distT="0" distB="0" distL="0" distR="0" wp14:anchorId="632465B3" wp14:editId="065E80DD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9E059FD" w14:textId="77777777" w:rsidR="0001362C" w:rsidRPr="0001362C" w:rsidRDefault="0001362C" w:rsidP="0001362C">
      <w:pPr>
        <w:spacing w:line="276" w:lineRule="auto"/>
        <w:rPr>
          <w:rFonts w:ascii="Museo Sans 300" w:hAnsi="Museo Sans 300" w:cstheme="minorHAnsi"/>
          <w:sz w:val="18"/>
          <w:szCs w:val="18"/>
          <w:lang w:val="es-MX"/>
        </w:rPr>
      </w:pPr>
      <w:r w:rsidRPr="0001362C">
        <w:rPr>
          <w:rFonts w:ascii="Museo Sans 300" w:hAnsi="Museo Sans 300" w:cstheme="minorHAnsi"/>
          <w:sz w:val="18"/>
          <w:szCs w:val="18"/>
          <w:lang w:val="es-MX"/>
        </w:rPr>
        <w:t>Fuente: Ministerio de Hacienda</w:t>
      </w:r>
    </w:p>
    <w:p w14:paraId="25A69FD9" w14:textId="77777777" w:rsidR="0001362C" w:rsidRDefault="0001362C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</w:p>
    <w:p w14:paraId="36318699" w14:textId="61C6E0B0" w:rsidR="000E7ED7" w:rsidRPr="0001362C" w:rsidRDefault="000E7ED7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sz w:val="22"/>
          <w:szCs w:val="22"/>
          <w:lang w:val="es-MX"/>
        </w:rPr>
        <w:t>De forma detallada, el Impuesto al Valor Agregado registró un monto de $</w:t>
      </w:r>
      <w:r w:rsidR="00911BEA" w:rsidRPr="0001362C">
        <w:rPr>
          <w:rFonts w:ascii="Museo Sans 300" w:hAnsi="Museo Sans 300" w:cstheme="minorHAnsi"/>
          <w:sz w:val="22"/>
          <w:szCs w:val="22"/>
          <w:lang w:val="es-MX"/>
        </w:rPr>
        <w:t>941.9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millones, mostrando un incremento de </w:t>
      </w:r>
      <w:r w:rsidR="00911BEA" w:rsidRPr="0001362C">
        <w:rPr>
          <w:rFonts w:ascii="Museo Sans 300" w:hAnsi="Museo Sans 300" w:cstheme="minorHAnsi"/>
          <w:sz w:val="22"/>
          <w:szCs w:val="22"/>
          <w:lang w:val="es-MX"/>
        </w:rPr>
        <w:t>7.7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%, como resultado de variaciones positivas de sus componentes en donde se destaca la variación del IVA Importación con un crecimiento del </w:t>
      </w:r>
      <w:r w:rsidR="007C4954" w:rsidRPr="0001362C">
        <w:rPr>
          <w:rFonts w:ascii="Museo Sans 300" w:hAnsi="Museo Sans 300" w:cstheme="minorHAnsi"/>
          <w:sz w:val="22"/>
          <w:szCs w:val="22"/>
          <w:lang w:val="es-MX"/>
        </w:rPr>
        <w:t>8.1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%</w:t>
      </w:r>
      <w:r w:rsidR="005834CC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y en IVA declaración (</w:t>
      </w:r>
      <w:r w:rsidR="007C4954" w:rsidRPr="0001362C">
        <w:rPr>
          <w:rFonts w:ascii="Museo Sans 300" w:hAnsi="Museo Sans 300" w:cstheme="minorHAnsi"/>
          <w:sz w:val="22"/>
          <w:szCs w:val="22"/>
          <w:lang w:val="es-MX"/>
        </w:rPr>
        <w:t>7.2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%). Dentro de la composición de los Ingresos Tributarios, el IVA representó el 4</w:t>
      </w:r>
      <w:r w:rsidR="007C4954" w:rsidRPr="0001362C">
        <w:rPr>
          <w:rFonts w:ascii="Museo Sans 300" w:hAnsi="Museo Sans 300" w:cstheme="minorHAnsi"/>
          <w:sz w:val="22"/>
          <w:szCs w:val="22"/>
          <w:lang w:val="es-MX"/>
        </w:rPr>
        <w:t>9</w:t>
      </w:r>
      <w:r w:rsidR="00DA1FE0" w:rsidRPr="0001362C">
        <w:rPr>
          <w:rFonts w:ascii="Museo Sans 300" w:hAnsi="Museo Sans 300" w:cstheme="minorHAnsi"/>
          <w:sz w:val="22"/>
          <w:szCs w:val="22"/>
          <w:lang w:val="es-MX"/>
        </w:rPr>
        <w:t>.8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% del total.</w:t>
      </w:r>
    </w:p>
    <w:p w14:paraId="25056BFB" w14:textId="77777777" w:rsidR="000E7ED7" w:rsidRPr="0001362C" w:rsidRDefault="000E7ED7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</w:p>
    <w:p w14:paraId="5C0C5233" w14:textId="4D54D672" w:rsidR="000E7ED7" w:rsidRPr="00AD348F" w:rsidRDefault="000E7ED7" w:rsidP="00795301">
      <w:pPr>
        <w:jc w:val="both"/>
        <w:rPr>
          <w:rFonts w:ascii="Museo Sans 300" w:hAnsi="Museo Sans 300" w:cstheme="minorHAnsi"/>
          <w:sz w:val="22"/>
          <w:szCs w:val="22"/>
          <w:lang w:val="es-MX"/>
        </w:rPr>
      </w:pPr>
      <w:r w:rsidRPr="00AD348F">
        <w:rPr>
          <w:rFonts w:ascii="Museo Sans 300" w:hAnsi="Museo Sans 300" w:cstheme="minorHAnsi"/>
          <w:sz w:val="22"/>
          <w:szCs w:val="22"/>
          <w:lang w:val="es-MX"/>
        </w:rPr>
        <w:t>El Impuesto sobre la Renta alcanzó un valor recaudado de $</w:t>
      </w:r>
      <w:r w:rsidR="007C4954" w:rsidRPr="00AD348F">
        <w:rPr>
          <w:rFonts w:ascii="Museo Sans 300" w:hAnsi="Museo Sans 300" w:cstheme="minorHAnsi"/>
          <w:sz w:val="22"/>
          <w:szCs w:val="22"/>
          <w:lang w:val="es-MX"/>
        </w:rPr>
        <w:t>721.4</w:t>
      </w:r>
      <w:r w:rsidRPr="00AD348F">
        <w:rPr>
          <w:rFonts w:ascii="Museo Sans 300" w:hAnsi="Museo Sans 300" w:cstheme="minorHAnsi"/>
          <w:sz w:val="22"/>
          <w:szCs w:val="22"/>
          <w:lang w:val="es-MX"/>
        </w:rPr>
        <w:t xml:space="preserve"> millones, observándose un</w:t>
      </w:r>
      <w:r w:rsidR="007C4954" w:rsidRPr="00AD348F">
        <w:rPr>
          <w:rFonts w:ascii="Museo Sans 300" w:hAnsi="Museo Sans 300" w:cstheme="minorHAnsi"/>
          <w:sz w:val="22"/>
          <w:szCs w:val="22"/>
          <w:lang w:val="es-MX"/>
        </w:rPr>
        <w:t>a</w:t>
      </w:r>
      <w:r w:rsidRPr="00AD348F">
        <w:rPr>
          <w:rFonts w:ascii="Museo Sans 300" w:hAnsi="Museo Sans 300" w:cstheme="minorHAnsi"/>
          <w:sz w:val="22"/>
          <w:szCs w:val="22"/>
          <w:lang w:val="es-MX"/>
        </w:rPr>
        <w:t xml:space="preserve"> </w:t>
      </w:r>
      <w:r w:rsidR="007C4954" w:rsidRPr="00AD348F">
        <w:rPr>
          <w:rFonts w:ascii="Museo Sans 300" w:hAnsi="Museo Sans 300" w:cstheme="minorHAnsi"/>
          <w:sz w:val="22"/>
          <w:szCs w:val="22"/>
          <w:lang w:val="es-MX"/>
        </w:rPr>
        <w:t xml:space="preserve">disminución </w:t>
      </w:r>
      <w:r w:rsidRPr="00AD348F">
        <w:rPr>
          <w:rFonts w:ascii="Museo Sans 300" w:hAnsi="Museo Sans 300" w:cstheme="minorHAnsi"/>
          <w:sz w:val="22"/>
          <w:szCs w:val="22"/>
          <w:lang w:val="es-MX"/>
        </w:rPr>
        <w:t xml:space="preserve">de </w:t>
      </w:r>
      <w:r w:rsidR="007C4954" w:rsidRPr="00AD348F">
        <w:rPr>
          <w:rFonts w:ascii="Museo Sans 300" w:hAnsi="Museo Sans 300" w:cstheme="minorHAnsi"/>
          <w:sz w:val="22"/>
          <w:szCs w:val="22"/>
          <w:lang w:val="es-MX"/>
        </w:rPr>
        <w:t>2</w:t>
      </w:r>
      <w:r w:rsidR="000D7E4A" w:rsidRPr="00AD348F">
        <w:rPr>
          <w:rFonts w:ascii="Museo Sans 300" w:hAnsi="Museo Sans 300" w:cstheme="minorHAnsi"/>
          <w:sz w:val="22"/>
          <w:szCs w:val="22"/>
          <w:lang w:val="es-MX"/>
        </w:rPr>
        <w:t>.8</w:t>
      </w:r>
      <w:r w:rsidRPr="00AD348F">
        <w:rPr>
          <w:rFonts w:ascii="Museo Sans 300" w:hAnsi="Museo Sans 300" w:cstheme="minorHAnsi"/>
          <w:sz w:val="22"/>
          <w:szCs w:val="22"/>
          <w:lang w:val="es-MX"/>
        </w:rPr>
        <w:t>%</w:t>
      </w:r>
      <w:r w:rsidR="00CE5A10" w:rsidRPr="00AD348F">
        <w:rPr>
          <w:rFonts w:ascii="Museo Sans 300" w:hAnsi="Museo Sans 300" w:cstheme="minorHAnsi"/>
          <w:sz w:val="22"/>
          <w:szCs w:val="22"/>
          <w:lang w:val="es-MX"/>
        </w:rPr>
        <w:t xml:space="preserve"> respecto al mismo período en 2024</w:t>
      </w:r>
      <w:r w:rsidR="00B35EEB" w:rsidRPr="00AD348F">
        <w:rPr>
          <w:rFonts w:ascii="Museo Sans 300" w:hAnsi="Museo Sans 300" w:cstheme="minorHAnsi"/>
          <w:sz w:val="22"/>
          <w:szCs w:val="22"/>
          <w:lang w:val="es-MX"/>
        </w:rPr>
        <w:t>, e</w:t>
      </w:r>
      <w:r w:rsidR="008464A4">
        <w:rPr>
          <w:rFonts w:ascii="Museo Sans 300" w:hAnsi="Museo Sans 300" w:cstheme="minorHAnsi"/>
          <w:sz w:val="22"/>
          <w:szCs w:val="22"/>
          <w:lang w:val="es-MX"/>
        </w:rPr>
        <w:t xml:space="preserve">ste </w:t>
      </w:r>
      <w:r w:rsidR="00B35EEB" w:rsidRPr="00AD348F">
        <w:rPr>
          <w:rFonts w:ascii="Museo Sans 300" w:hAnsi="Museo Sans 300" w:cstheme="minorHAnsi"/>
          <w:sz w:val="22"/>
          <w:szCs w:val="22"/>
          <w:lang w:val="es-MX"/>
        </w:rPr>
        <w:t>comportamiento obedece a</w:t>
      </w:r>
      <w:r w:rsidR="00AD348F">
        <w:rPr>
          <w:rFonts w:ascii="Museo Sans 300" w:hAnsi="Museo Sans 300" w:cstheme="minorHAnsi"/>
          <w:sz w:val="22"/>
          <w:szCs w:val="22"/>
          <w:lang w:val="es-MX"/>
        </w:rPr>
        <w:t xml:space="preserve"> </w:t>
      </w:r>
      <w:r w:rsidR="008464A4">
        <w:rPr>
          <w:rFonts w:ascii="Museo Sans 300" w:hAnsi="Museo Sans 300" w:cstheme="minorHAnsi"/>
          <w:sz w:val="22"/>
          <w:szCs w:val="22"/>
          <w:lang w:val="es-MX"/>
        </w:rPr>
        <w:t>que,</w:t>
      </w:r>
      <w:r w:rsidR="00AD348F">
        <w:rPr>
          <w:rFonts w:ascii="Museo Sans 300" w:hAnsi="Museo Sans 300" w:cstheme="minorHAnsi"/>
          <w:sz w:val="22"/>
          <w:szCs w:val="22"/>
          <w:lang w:val="es-MX"/>
        </w:rPr>
        <w:t xml:space="preserve"> en enero </w:t>
      </w:r>
      <w:r w:rsidR="008464A4">
        <w:rPr>
          <w:rFonts w:ascii="Museo Sans 300" w:hAnsi="Museo Sans 300" w:cstheme="minorHAnsi"/>
          <w:sz w:val="22"/>
          <w:szCs w:val="22"/>
          <w:lang w:val="es-MX"/>
        </w:rPr>
        <w:t xml:space="preserve">2024 </w:t>
      </w:r>
      <w:r w:rsidR="008464A4" w:rsidRPr="00AD348F">
        <w:rPr>
          <w:rFonts w:ascii="Museo Sans 300" w:hAnsi="Museo Sans 300" w:cstheme="minorHAnsi"/>
          <w:sz w:val="22"/>
          <w:szCs w:val="22"/>
          <w:lang w:val="es-MX"/>
        </w:rPr>
        <w:t>se</w:t>
      </w:r>
      <w:r w:rsidR="008464A4">
        <w:rPr>
          <w:rFonts w:ascii="Museo Sans 300" w:hAnsi="Museo Sans 300" w:cstheme="minorHAnsi"/>
          <w:sz w:val="22"/>
          <w:szCs w:val="22"/>
          <w:lang w:val="es-MX"/>
        </w:rPr>
        <w:t xml:space="preserve"> ejecutaron</w:t>
      </w:r>
      <w:r w:rsidR="00AD348F">
        <w:rPr>
          <w:rFonts w:ascii="Museo Sans 300" w:hAnsi="Museo Sans 300" w:cstheme="minorHAnsi"/>
          <w:sz w:val="22"/>
          <w:szCs w:val="22"/>
          <w:lang w:val="es-MX"/>
        </w:rPr>
        <w:t xml:space="preserve"> pagos </w:t>
      </w:r>
      <w:r w:rsidR="008464A4">
        <w:rPr>
          <w:rFonts w:ascii="Museo Sans 300" w:hAnsi="Museo Sans 300" w:cstheme="minorHAnsi"/>
          <w:sz w:val="22"/>
          <w:szCs w:val="22"/>
          <w:lang w:val="es-MX"/>
        </w:rPr>
        <w:t>en la renta declaración</w:t>
      </w:r>
      <w:r w:rsidR="00AD348F">
        <w:rPr>
          <w:rFonts w:ascii="Museo Sans 300" w:hAnsi="Museo Sans 300" w:cstheme="minorHAnsi"/>
          <w:sz w:val="22"/>
          <w:szCs w:val="22"/>
          <w:lang w:val="es-MX"/>
        </w:rPr>
        <w:t xml:space="preserve"> por un</w:t>
      </w:r>
      <w:r w:rsidR="00573F4A" w:rsidRPr="00AD348F">
        <w:rPr>
          <w:rFonts w:ascii="Museo Sans 300" w:hAnsi="Museo Sans 300" w:cstheme="minorHAnsi"/>
          <w:sz w:val="22"/>
          <w:szCs w:val="22"/>
          <w:lang w:val="es-MX"/>
        </w:rPr>
        <w:t xml:space="preserve"> monto </w:t>
      </w:r>
      <w:r w:rsidR="00AD348F">
        <w:rPr>
          <w:rFonts w:ascii="Museo Sans 300" w:hAnsi="Museo Sans 300" w:cstheme="minorHAnsi"/>
          <w:sz w:val="22"/>
          <w:szCs w:val="22"/>
          <w:lang w:val="es-MX"/>
        </w:rPr>
        <w:t>de alrededor de</w:t>
      </w:r>
      <w:r w:rsidR="00573F4A" w:rsidRPr="00AD348F">
        <w:rPr>
          <w:rFonts w:ascii="Museo Sans 300" w:hAnsi="Museo Sans 300" w:cstheme="minorHAnsi"/>
          <w:sz w:val="22"/>
          <w:szCs w:val="22"/>
          <w:lang w:val="es-MX"/>
        </w:rPr>
        <w:t xml:space="preserve"> $90.0 millones</w:t>
      </w:r>
      <w:r w:rsidR="008464A4">
        <w:rPr>
          <w:rFonts w:ascii="Museo Sans 300" w:hAnsi="Museo Sans 300" w:cstheme="minorHAnsi"/>
          <w:sz w:val="22"/>
          <w:szCs w:val="22"/>
          <w:lang w:val="es-MX"/>
        </w:rPr>
        <w:t>;</w:t>
      </w:r>
      <w:r w:rsidR="00AD348F" w:rsidRPr="00AD348F">
        <w:rPr>
          <w:rFonts w:ascii="Museo Sans 300" w:hAnsi="Museo Sans 300" w:cstheme="minorHAnsi"/>
          <w:sz w:val="22"/>
          <w:szCs w:val="22"/>
          <w:lang w:val="es-MX"/>
        </w:rPr>
        <w:t xml:space="preserve"> </w:t>
      </w:r>
      <w:r w:rsidR="008464A4">
        <w:rPr>
          <w:rFonts w:ascii="Museo Sans 300" w:hAnsi="Museo Sans 300" w:cstheme="minorHAnsi"/>
          <w:sz w:val="22"/>
          <w:szCs w:val="22"/>
          <w:lang w:val="es-MX"/>
        </w:rPr>
        <w:t>por</w:t>
      </w:r>
      <w:r w:rsidRPr="00AD348F">
        <w:rPr>
          <w:rFonts w:ascii="Museo Sans 300" w:hAnsi="Museo Sans 300" w:cstheme="minorHAnsi"/>
          <w:sz w:val="22"/>
          <w:szCs w:val="22"/>
          <w:lang w:val="es-MX"/>
        </w:rPr>
        <w:t xml:space="preserve"> componentes</w:t>
      </w:r>
      <w:r w:rsidR="007C4954" w:rsidRPr="00AD348F">
        <w:rPr>
          <w:rFonts w:ascii="Museo Sans 300" w:hAnsi="Museo Sans 300" w:cstheme="minorHAnsi"/>
          <w:sz w:val="22"/>
          <w:szCs w:val="22"/>
          <w:lang w:val="es-MX"/>
        </w:rPr>
        <w:t xml:space="preserve"> mostraron las siguientes variaciones</w:t>
      </w:r>
      <w:r w:rsidRPr="00AD348F">
        <w:rPr>
          <w:rFonts w:ascii="Museo Sans 300" w:hAnsi="Museo Sans 300" w:cstheme="minorHAnsi"/>
          <w:sz w:val="22"/>
          <w:szCs w:val="22"/>
          <w:lang w:val="es-MX"/>
        </w:rPr>
        <w:t>: pago a cuenta</w:t>
      </w:r>
      <w:r w:rsidR="00CE5A10" w:rsidRPr="00AD348F">
        <w:rPr>
          <w:rFonts w:ascii="Museo Sans 300" w:hAnsi="Museo Sans 300" w:cstheme="minorHAnsi"/>
          <w:sz w:val="22"/>
          <w:szCs w:val="22"/>
          <w:lang w:val="es-MX"/>
        </w:rPr>
        <w:t xml:space="preserve"> (</w:t>
      </w:r>
      <w:r w:rsidR="007C4954" w:rsidRPr="00AD348F">
        <w:rPr>
          <w:rFonts w:ascii="Museo Sans 300" w:hAnsi="Museo Sans 300" w:cstheme="minorHAnsi"/>
          <w:sz w:val="22"/>
          <w:szCs w:val="22"/>
          <w:lang w:val="es-MX"/>
        </w:rPr>
        <w:t>5.7</w:t>
      </w:r>
      <w:r w:rsidRPr="00AD348F">
        <w:rPr>
          <w:rFonts w:ascii="Museo Sans 300" w:hAnsi="Museo Sans 300" w:cstheme="minorHAnsi"/>
          <w:sz w:val="22"/>
          <w:szCs w:val="22"/>
          <w:lang w:val="es-MX"/>
        </w:rPr>
        <w:t>%</w:t>
      </w:r>
      <w:r w:rsidR="00CE5A10" w:rsidRPr="00AD348F">
        <w:rPr>
          <w:rFonts w:ascii="Museo Sans 300" w:hAnsi="Museo Sans 300" w:cstheme="minorHAnsi"/>
          <w:sz w:val="22"/>
          <w:szCs w:val="22"/>
          <w:lang w:val="es-MX"/>
        </w:rPr>
        <w:t>)</w:t>
      </w:r>
      <w:r w:rsidRPr="00AD348F">
        <w:rPr>
          <w:rFonts w:ascii="Museo Sans 300" w:hAnsi="Museo Sans 300" w:cstheme="minorHAnsi"/>
          <w:sz w:val="22"/>
          <w:szCs w:val="22"/>
          <w:lang w:val="es-MX"/>
        </w:rPr>
        <w:t xml:space="preserve">, Retenciones </w:t>
      </w:r>
      <w:r w:rsidR="00CE5A10" w:rsidRPr="00AD348F">
        <w:rPr>
          <w:rFonts w:ascii="Museo Sans 300" w:hAnsi="Museo Sans 300" w:cstheme="minorHAnsi"/>
          <w:sz w:val="22"/>
          <w:szCs w:val="22"/>
          <w:lang w:val="es-MX"/>
        </w:rPr>
        <w:t>(</w:t>
      </w:r>
      <w:r w:rsidR="007C4954" w:rsidRPr="00AD348F">
        <w:rPr>
          <w:rFonts w:ascii="Museo Sans 300" w:hAnsi="Museo Sans 300" w:cstheme="minorHAnsi"/>
          <w:sz w:val="22"/>
          <w:szCs w:val="22"/>
          <w:lang w:val="es-MX"/>
        </w:rPr>
        <w:t>8</w:t>
      </w:r>
      <w:r w:rsidRPr="00AD348F">
        <w:rPr>
          <w:rFonts w:ascii="Museo Sans 300" w:hAnsi="Museo Sans 300" w:cstheme="minorHAnsi"/>
          <w:sz w:val="22"/>
          <w:szCs w:val="22"/>
          <w:lang w:val="es-MX"/>
        </w:rPr>
        <w:t>.</w:t>
      </w:r>
      <w:r w:rsidR="00DA1FE0" w:rsidRPr="00AD348F">
        <w:rPr>
          <w:rFonts w:ascii="Museo Sans 300" w:hAnsi="Museo Sans 300" w:cstheme="minorHAnsi"/>
          <w:sz w:val="22"/>
          <w:szCs w:val="22"/>
          <w:lang w:val="es-MX"/>
        </w:rPr>
        <w:t>4</w:t>
      </w:r>
      <w:r w:rsidRPr="00AD348F">
        <w:rPr>
          <w:rFonts w:ascii="Museo Sans 300" w:hAnsi="Museo Sans 300" w:cstheme="minorHAnsi"/>
          <w:sz w:val="22"/>
          <w:szCs w:val="22"/>
          <w:lang w:val="es-MX"/>
        </w:rPr>
        <w:t>%</w:t>
      </w:r>
      <w:r w:rsidR="00CE5A10" w:rsidRPr="00AD348F">
        <w:rPr>
          <w:rFonts w:ascii="Museo Sans 300" w:hAnsi="Museo Sans 300" w:cstheme="minorHAnsi"/>
          <w:sz w:val="22"/>
          <w:szCs w:val="22"/>
          <w:lang w:val="es-MX"/>
        </w:rPr>
        <w:t>)</w:t>
      </w:r>
      <w:r w:rsidRPr="00AD348F">
        <w:rPr>
          <w:rFonts w:ascii="Museo Sans 300" w:hAnsi="Museo Sans 300" w:cstheme="minorHAnsi"/>
          <w:sz w:val="22"/>
          <w:szCs w:val="22"/>
          <w:lang w:val="es-MX"/>
        </w:rPr>
        <w:t xml:space="preserve"> y Declaraciones</w:t>
      </w:r>
      <w:r w:rsidR="007A1A06" w:rsidRPr="00AD348F">
        <w:rPr>
          <w:rFonts w:ascii="Museo Sans 300" w:hAnsi="Museo Sans 300" w:cstheme="minorHAnsi"/>
          <w:sz w:val="22"/>
          <w:szCs w:val="22"/>
          <w:lang w:val="es-MX"/>
        </w:rPr>
        <w:t xml:space="preserve"> </w:t>
      </w:r>
      <w:r w:rsidR="00CE5A10" w:rsidRPr="00AD348F">
        <w:rPr>
          <w:rFonts w:ascii="Museo Sans 300" w:hAnsi="Museo Sans 300" w:cstheme="minorHAnsi"/>
          <w:sz w:val="22"/>
          <w:szCs w:val="22"/>
          <w:lang w:val="es-MX"/>
        </w:rPr>
        <w:t>(</w:t>
      </w:r>
      <w:r w:rsidR="007C4954" w:rsidRPr="00AD348F">
        <w:rPr>
          <w:rFonts w:ascii="Museo Sans 300" w:hAnsi="Museo Sans 300" w:cstheme="minorHAnsi"/>
          <w:sz w:val="22"/>
          <w:szCs w:val="22"/>
          <w:lang w:val="es-MX"/>
        </w:rPr>
        <w:t>-47.3</w:t>
      </w:r>
      <w:r w:rsidRPr="00AD348F">
        <w:rPr>
          <w:rFonts w:ascii="Museo Sans 300" w:hAnsi="Museo Sans 300" w:cstheme="minorHAnsi"/>
          <w:sz w:val="22"/>
          <w:szCs w:val="22"/>
          <w:lang w:val="es-MX"/>
        </w:rPr>
        <w:t>%</w:t>
      </w:r>
      <w:r w:rsidR="00CE5A10" w:rsidRPr="00AD348F">
        <w:rPr>
          <w:rFonts w:ascii="Museo Sans 300" w:hAnsi="Museo Sans 300" w:cstheme="minorHAnsi"/>
          <w:sz w:val="22"/>
          <w:szCs w:val="22"/>
          <w:lang w:val="es-MX"/>
        </w:rPr>
        <w:t>)</w:t>
      </w:r>
      <w:r w:rsidRPr="00AD348F">
        <w:rPr>
          <w:rFonts w:ascii="Museo Sans 300" w:hAnsi="Museo Sans 300" w:cstheme="minorHAnsi"/>
          <w:sz w:val="22"/>
          <w:szCs w:val="22"/>
          <w:lang w:val="es-MX"/>
        </w:rPr>
        <w:t xml:space="preserve">. Dentro del total de ingresos tributarios, el impuesto sobre la Renta representó un </w:t>
      </w:r>
      <w:r w:rsidR="007C4954" w:rsidRPr="00AD348F">
        <w:rPr>
          <w:rFonts w:ascii="Museo Sans 300" w:hAnsi="Museo Sans 300" w:cstheme="minorHAnsi"/>
          <w:sz w:val="22"/>
          <w:szCs w:val="22"/>
          <w:lang w:val="es-MX"/>
        </w:rPr>
        <w:t>38.1</w:t>
      </w:r>
      <w:r w:rsidRPr="00AD348F">
        <w:rPr>
          <w:rFonts w:ascii="Museo Sans 300" w:hAnsi="Museo Sans 300" w:cstheme="minorHAnsi"/>
          <w:sz w:val="22"/>
          <w:szCs w:val="22"/>
          <w:lang w:val="es-MX"/>
        </w:rPr>
        <w:t xml:space="preserve">%. </w:t>
      </w:r>
    </w:p>
    <w:p w14:paraId="33AF0960" w14:textId="77777777" w:rsidR="00B35EEB" w:rsidRPr="0001362C" w:rsidRDefault="00B35EEB" w:rsidP="00BC2933">
      <w:pPr>
        <w:jc w:val="both"/>
        <w:rPr>
          <w:rFonts w:ascii="Museo Sans 300" w:hAnsi="Museo Sans 300" w:cs="Calibri"/>
          <w:color w:val="FF0000"/>
          <w:sz w:val="22"/>
          <w:szCs w:val="22"/>
          <w:lang w:val="es-SV" w:eastAsia="es-SV"/>
        </w:rPr>
      </w:pPr>
    </w:p>
    <w:p w14:paraId="0B796D2A" w14:textId="77777777" w:rsidR="009A5107" w:rsidRPr="0001362C" w:rsidRDefault="009A5107" w:rsidP="009A5107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La recaudación </w:t>
      </w:r>
      <w:bookmarkStart w:id="21" w:name="_Hlk48627481"/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por Derechos Arancelarios a la Importación </w:t>
      </w:r>
      <w:bookmarkEnd w:id="21"/>
      <w:r w:rsidRPr="0001362C">
        <w:rPr>
          <w:rFonts w:ascii="Museo Sans 300" w:hAnsi="Museo Sans 300" w:cstheme="minorHAnsi"/>
          <w:sz w:val="22"/>
          <w:szCs w:val="22"/>
          <w:lang w:val="es-MX"/>
        </w:rPr>
        <w:t>de Bienes registró un total de $86.1 millones, mostrando un incremento de 11.3% con respecto a marzo 2024</w:t>
      </w:r>
      <w:r w:rsidRPr="0001362C">
        <w:rPr>
          <w:rFonts w:ascii="Museo Sans 300" w:hAnsi="Museo Sans 300" w:cstheme="minorHAnsi"/>
          <w:i/>
          <w:iCs/>
          <w:sz w:val="22"/>
          <w:szCs w:val="22"/>
        </w:rPr>
        <w:t xml:space="preserve"> 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consistente con el comportamiento de las importaciones de bienes que presentó una variación anual positiva de 12.7%. </w:t>
      </w:r>
    </w:p>
    <w:p w14:paraId="4C5D9F60" w14:textId="77777777" w:rsidR="000E7ED7" w:rsidRPr="0001362C" w:rsidRDefault="000E7ED7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</w:p>
    <w:p w14:paraId="3EB80BC7" w14:textId="77777777" w:rsidR="002309FE" w:rsidRPr="0001362C" w:rsidRDefault="002309FE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</w:p>
    <w:p w14:paraId="264D780B" w14:textId="77777777" w:rsidR="00E61B3F" w:rsidRPr="0001362C" w:rsidRDefault="00E61B3F" w:rsidP="00055C62">
      <w:pPr>
        <w:spacing w:after="240"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lastRenderedPageBreak/>
        <w:t xml:space="preserve">Gráfico 3: Ingresos tributarios del SPNF por fuentes </w:t>
      </w:r>
      <w:r w:rsidR="00724E84" w:rsidRPr="0001362C">
        <w:rPr>
          <w:rFonts w:ascii="Museo Sans 300" w:hAnsi="Museo Sans 300" w:cstheme="minorHAnsi"/>
          <w:i/>
          <w:sz w:val="22"/>
          <w:szCs w:val="22"/>
          <w:lang w:val="es-MX"/>
        </w:rPr>
        <w:t>a marzo</w:t>
      </w: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 20</w:t>
      </w:r>
      <w:r w:rsidR="000A13D8" w:rsidRPr="0001362C">
        <w:rPr>
          <w:rFonts w:ascii="Museo Sans 300" w:hAnsi="Museo Sans 300" w:cstheme="minorHAnsi"/>
          <w:i/>
          <w:sz w:val="22"/>
          <w:szCs w:val="22"/>
          <w:lang w:val="es-MX"/>
        </w:rPr>
        <w:t>20</w:t>
      </w: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 -202</w:t>
      </w:r>
      <w:r w:rsidR="00B6261C" w:rsidRPr="0001362C">
        <w:rPr>
          <w:rFonts w:ascii="Museo Sans 300" w:hAnsi="Museo Sans 300" w:cstheme="minorHAnsi"/>
          <w:i/>
          <w:sz w:val="22"/>
          <w:szCs w:val="22"/>
          <w:lang w:val="es-MX"/>
        </w:rPr>
        <w:t>5</w:t>
      </w:r>
    </w:p>
    <w:p w14:paraId="0502FC44" w14:textId="26076A6E" w:rsidR="00E61B3F" w:rsidRPr="0001362C" w:rsidRDefault="00012037" w:rsidP="00E61B3F">
      <w:pPr>
        <w:spacing w:line="276" w:lineRule="auto"/>
        <w:jc w:val="center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/>
          <w:noProof/>
          <w:sz w:val="22"/>
          <w:szCs w:val="22"/>
        </w:rPr>
        <w:drawing>
          <wp:inline distT="0" distB="0" distL="0" distR="0" wp14:anchorId="058AC872" wp14:editId="38385FA8">
            <wp:extent cx="5486400" cy="32004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E946E01" w14:textId="77777777" w:rsidR="00E61B3F" w:rsidRPr="0001362C" w:rsidRDefault="00E61B3F" w:rsidP="00E61B3F">
      <w:pPr>
        <w:spacing w:line="276" w:lineRule="auto"/>
        <w:rPr>
          <w:rFonts w:ascii="Museo Sans 300" w:hAnsi="Museo Sans 300" w:cstheme="minorHAnsi"/>
          <w:sz w:val="18"/>
          <w:szCs w:val="18"/>
          <w:lang w:val="es-MX"/>
        </w:rPr>
      </w:pP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                  </w:t>
      </w:r>
      <w:r w:rsidRPr="0001362C">
        <w:rPr>
          <w:rFonts w:ascii="Museo Sans 300" w:hAnsi="Museo Sans 300" w:cstheme="minorHAnsi"/>
          <w:sz w:val="18"/>
          <w:szCs w:val="18"/>
          <w:lang w:val="es-MX"/>
        </w:rPr>
        <w:t xml:space="preserve">Fuente: Ministerio de Hacienda </w:t>
      </w:r>
    </w:p>
    <w:p w14:paraId="7F4D0A21" w14:textId="77777777" w:rsidR="00E61B3F" w:rsidRPr="0001362C" w:rsidRDefault="00E61B3F" w:rsidP="00E61B3F">
      <w:pPr>
        <w:spacing w:line="276" w:lineRule="auto"/>
        <w:jc w:val="center"/>
        <w:rPr>
          <w:rFonts w:ascii="Museo Sans 300" w:hAnsi="Museo Sans 300" w:cstheme="minorHAnsi"/>
          <w:sz w:val="22"/>
          <w:szCs w:val="22"/>
          <w:lang w:val="es-MX"/>
        </w:rPr>
      </w:pPr>
    </w:p>
    <w:p w14:paraId="498A9829" w14:textId="77777777" w:rsidR="000E7ED7" w:rsidRPr="0001362C" w:rsidRDefault="000E7ED7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</w:p>
    <w:p w14:paraId="64FC469E" w14:textId="77777777" w:rsidR="009A5107" w:rsidRPr="0001362C" w:rsidRDefault="009A5107" w:rsidP="009A5107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sz w:val="22"/>
          <w:szCs w:val="22"/>
          <w:lang w:val="es-MX"/>
        </w:rPr>
        <w:t>En cuanto a los Impuestos Específicos al Consumo de Productos, estos registraron un valor de $56.1 millones, equivalente a una disminución de 4.7%, con respecto a marzo 2024, resultado neto de variaciones positivas y negativas en sus componentes.</w:t>
      </w:r>
    </w:p>
    <w:p w14:paraId="3D2E008D" w14:textId="77777777" w:rsidR="009A5107" w:rsidRPr="0001362C" w:rsidRDefault="009A5107" w:rsidP="00E61B3F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28D8034E" w14:textId="77777777" w:rsidR="009A5107" w:rsidRPr="0001362C" w:rsidRDefault="009A5107" w:rsidP="009A5107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Las Contribuciones Especiales alcanzaron un valor de $50.3 millones, experimentando un incremento de 2.0%, con relación al mismo mes del año anterior, sobresaliendo la Contribución Especial del FOVIAL. </w:t>
      </w:r>
    </w:p>
    <w:p w14:paraId="02039843" w14:textId="77777777" w:rsidR="009A5107" w:rsidRPr="0001362C" w:rsidRDefault="009A5107" w:rsidP="009A5107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</w:p>
    <w:p w14:paraId="5EF4FC68" w14:textId="77777777" w:rsidR="009A5107" w:rsidRPr="0001362C" w:rsidRDefault="009A5107" w:rsidP="009A5107">
      <w:pPr>
        <w:spacing w:after="240"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sz w:val="22"/>
          <w:szCs w:val="22"/>
          <w:lang w:val="es-MX"/>
        </w:rPr>
        <w:t>En el rubro Otros, (compuesto principalmente por transferencias de propiedades y el impuesto especial 1ª. Matricula), la recaudación ascendió a $29.5 millones con un crecimiento del 16.1% con respecto al resultado obtenido en marzo 2024.</w:t>
      </w:r>
    </w:p>
    <w:p w14:paraId="77841937" w14:textId="77777777" w:rsidR="009A5107" w:rsidRPr="0001362C" w:rsidRDefault="009A5107" w:rsidP="009A5107">
      <w:pPr>
        <w:spacing w:line="276" w:lineRule="auto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21C8585B" w14:textId="77777777" w:rsidR="009A5107" w:rsidRPr="0001362C" w:rsidRDefault="009A5107" w:rsidP="00E61B3F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1DF25AD3" w14:textId="77777777" w:rsidR="009A5107" w:rsidRPr="0001362C" w:rsidRDefault="009A5107" w:rsidP="00E61B3F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02428C63" w14:textId="1F2B1E6A" w:rsidR="009A5107" w:rsidRDefault="009A5107" w:rsidP="00E61B3F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543A8EDD" w14:textId="6587A3A0" w:rsidR="002F33A9" w:rsidRDefault="002F33A9" w:rsidP="00E61B3F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1F9D2E2F" w14:textId="6C017A9E" w:rsidR="002F33A9" w:rsidRDefault="002F33A9" w:rsidP="00E61B3F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0FC9EC6C" w14:textId="69EF3ED9" w:rsidR="002F33A9" w:rsidRDefault="002F33A9" w:rsidP="00E61B3F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1A4AE9D8" w14:textId="77777777" w:rsidR="00154FC8" w:rsidRPr="0001362C" w:rsidRDefault="00154FC8" w:rsidP="00E61B3F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00499EE6" w14:textId="77777777" w:rsidR="00013222" w:rsidRPr="0001362C" w:rsidRDefault="00013222" w:rsidP="00E61B3F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4E106D28" w14:textId="4FB9B458" w:rsidR="000E7ED7" w:rsidRPr="0001362C" w:rsidRDefault="000E7ED7" w:rsidP="00E61B3F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lastRenderedPageBreak/>
        <w:t xml:space="preserve">Tabla No. 1 Estructura de Ingresos Tributarios </w:t>
      </w:r>
      <w:r w:rsidR="00724E84" w:rsidRPr="0001362C">
        <w:rPr>
          <w:rFonts w:ascii="Museo Sans 300" w:hAnsi="Museo Sans 300" w:cstheme="minorHAnsi"/>
          <w:i/>
          <w:sz w:val="22"/>
          <w:szCs w:val="22"/>
          <w:lang w:val="es-MX"/>
        </w:rPr>
        <w:t>a marzo</w:t>
      </w: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 20</w:t>
      </w:r>
      <w:r w:rsidR="000A13D8" w:rsidRPr="0001362C">
        <w:rPr>
          <w:rFonts w:ascii="Museo Sans 300" w:hAnsi="Museo Sans 300" w:cstheme="minorHAnsi"/>
          <w:i/>
          <w:sz w:val="22"/>
          <w:szCs w:val="22"/>
          <w:lang w:val="es-MX"/>
        </w:rPr>
        <w:t>20</w:t>
      </w: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 -202</w:t>
      </w:r>
      <w:r w:rsidR="00B6261C" w:rsidRPr="0001362C">
        <w:rPr>
          <w:rFonts w:ascii="Museo Sans 300" w:hAnsi="Museo Sans 300" w:cstheme="minorHAnsi"/>
          <w:i/>
          <w:sz w:val="22"/>
          <w:szCs w:val="22"/>
          <w:lang w:val="es-MX"/>
        </w:rPr>
        <w:t>5</w:t>
      </w: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 </w:t>
      </w:r>
    </w:p>
    <w:p w14:paraId="67388467" w14:textId="2B989630" w:rsidR="005834CC" w:rsidRDefault="000E7ED7" w:rsidP="00ED71FC">
      <w:pPr>
        <w:spacing w:after="240"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>(Millones de $, com</w:t>
      </w:r>
      <w:r w:rsidR="00ED71FC" w:rsidRPr="0001362C">
        <w:rPr>
          <w:rFonts w:ascii="Museo Sans 300" w:hAnsi="Museo Sans 300" w:cstheme="minorHAnsi"/>
          <w:i/>
          <w:sz w:val="22"/>
          <w:szCs w:val="22"/>
          <w:lang w:val="es-MX"/>
        </w:rPr>
        <w:t>o % d</w:t>
      </w: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>el total de ingresos y % del PIB).</w:t>
      </w:r>
    </w:p>
    <w:bookmarkStart w:id="22" w:name="_MON_1816503541"/>
    <w:bookmarkEnd w:id="22"/>
    <w:p w14:paraId="17C68CE0" w14:textId="37845817" w:rsidR="00876BA9" w:rsidRDefault="00892332" w:rsidP="00ED71FC">
      <w:pPr>
        <w:spacing w:after="240"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  <w:r>
        <w:rPr>
          <w:rFonts w:ascii="Museo Sans 300" w:hAnsi="Museo Sans 300" w:cstheme="minorHAnsi"/>
          <w:i/>
          <w:sz w:val="22"/>
          <w:szCs w:val="22"/>
          <w:lang w:val="es-MX"/>
        </w:rPr>
        <w:object w:dxaOrig="12546" w:dyaOrig="8443" w14:anchorId="0FA0F7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75pt;height:401.75pt" o:ole="">
            <v:imagedata r:id="rId12" o:title=""/>
          </v:shape>
          <o:OLEObject Type="Embed" ProgID="Excel.Sheet.12" ShapeID="_x0000_i1025" DrawAspect="Content" ObjectID="_1817020480" r:id="rId13"/>
        </w:object>
      </w:r>
    </w:p>
    <w:p w14:paraId="60A759CE" w14:textId="0F2D29C7" w:rsidR="00D430CF" w:rsidRDefault="00D430CF" w:rsidP="00ED71FC">
      <w:pPr>
        <w:spacing w:after="240"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52A86705" w14:textId="1E588F50" w:rsidR="00D430CF" w:rsidRDefault="00D430CF" w:rsidP="00ED71FC">
      <w:pPr>
        <w:spacing w:after="240"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467EAC14" w14:textId="6123F469" w:rsidR="00D430CF" w:rsidRDefault="00D430CF" w:rsidP="00ED71FC">
      <w:pPr>
        <w:spacing w:after="240"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3B644094" w14:textId="095ECF5E" w:rsidR="00D430CF" w:rsidRDefault="00D430CF" w:rsidP="00ED71FC">
      <w:pPr>
        <w:spacing w:after="240"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154611E8" w14:textId="4E71244F" w:rsidR="00D430CF" w:rsidRDefault="00D430CF" w:rsidP="00ED71FC">
      <w:pPr>
        <w:spacing w:after="240"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658ADA1E" w14:textId="67071CB1" w:rsidR="00D430CF" w:rsidRDefault="00D430CF" w:rsidP="00ED71FC">
      <w:pPr>
        <w:spacing w:after="240"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16E493A3" w14:textId="519B6C94" w:rsidR="00D430CF" w:rsidRDefault="00D430CF" w:rsidP="00ED71FC">
      <w:pPr>
        <w:spacing w:after="240"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5C4F3A8A" w14:textId="11A3776D" w:rsidR="000E7ED7" w:rsidRPr="0001362C" w:rsidRDefault="0001362C" w:rsidP="007C00E1">
      <w:pPr>
        <w:pStyle w:val="Ttulo3"/>
        <w:spacing w:line="480" w:lineRule="auto"/>
        <w:rPr>
          <w:rFonts w:ascii="Museo Sans 300" w:hAnsi="Museo Sans 300" w:cstheme="minorHAnsi"/>
          <w:szCs w:val="22"/>
          <w:lang w:val="es-MX"/>
        </w:rPr>
      </w:pPr>
      <w:bookmarkStart w:id="23" w:name="_Toc205819459"/>
      <w:bookmarkStart w:id="24" w:name="_Toc308681664"/>
      <w:bookmarkStart w:id="25" w:name="_Toc319049210"/>
      <w:bookmarkStart w:id="26" w:name="_Toc411843462"/>
      <w:bookmarkStart w:id="27" w:name="_Toc56581207"/>
      <w:bookmarkStart w:id="28" w:name="_Toc169162410"/>
      <w:bookmarkStart w:id="29" w:name="_Toc205889703"/>
      <w:bookmarkEnd w:id="23"/>
      <w:r>
        <w:rPr>
          <w:rFonts w:ascii="Museo Sans 300" w:hAnsi="Museo Sans 300" w:cstheme="minorHAnsi"/>
          <w:szCs w:val="22"/>
          <w:lang w:val="es-MX"/>
        </w:rPr>
        <w:lastRenderedPageBreak/>
        <w:t>1</w:t>
      </w:r>
      <w:r w:rsidR="000E7ED7" w:rsidRPr="0001362C">
        <w:rPr>
          <w:rFonts w:ascii="Museo Sans 300" w:hAnsi="Museo Sans 300" w:cstheme="minorHAnsi"/>
          <w:szCs w:val="22"/>
          <w:lang w:val="es-MX"/>
        </w:rPr>
        <w:t>.</w:t>
      </w:r>
      <w:r>
        <w:rPr>
          <w:rFonts w:ascii="Museo Sans 300" w:hAnsi="Museo Sans 300" w:cstheme="minorHAnsi"/>
          <w:szCs w:val="22"/>
          <w:lang w:val="es-MX"/>
        </w:rPr>
        <w:t>2</w:t>
      </w:r>
      <w:r w:rsidR="000E7ED7" w:rsidRPr="0001362C">
        <w:rPr>
          <w:rFonts w:ascii="Museo Sans 300" w:hAnsi="Museo Sans 300" w:cstheme="minorHAnsi"/>
          <w:szCs w:val="22"/>
          <w:lang w:val="es-MX"/>
        </w:rPr>
        <w:t xml:space="preserve"> Ingresos no Tributarios</w:t>
      </w:r>
      <w:bookmarkEnd w:id="24"/>
      <w:bookmarkEnd w:id="25"/>
      <w:bookmarkEnd w:id="26"/>
      <w:bookmarkEnd w:id="27"/>
      <w:bookmarkEnd w:id="28"/>
      <w:bookmarkEnd w:id="29"/>
    </w:p>
    <w:p w14:paraId="6685B40B" w14:textId="77777777" w:rsidR="009225FE" w:rsidRPr="0001362C" w:rsidRDefault="000E7ED7" w:rsidP="00055C62">
      <w:pPr>
        <w:tabs>
          <w:tab w:val="left" w:pos="0"/>
          <w:tab w:val="left" w:pos="9214"/>
        </w:tabs>
        <w:autoSpaceDE w:val="0"/>
        <w:autoSpaceDN w:val="0"/>
        <w:adjustRightInd w:val="0"/>
        <w:spacing w:after="240"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sz w:val="22"/>
          <w:szCs w:val="22"/>
          <w:lang w:val="es-MX"/>
        </w:rPr>
        <w:t>Los ingresos no tributarios a nivel de SPNF registraron un monto de $</w:t>
      </w:r>
      <w:r w:rsidR="00486288" w:rsidRPr="0001362C">
        <w:rPr>
          <w:rFonts w:ascii="Museo Sans 300" w:hAnsi="Museo Sans 300" w:cstheme="minorHAnsi"/>
          <w:sz w:val="22"/>
          <w:szCs w:val="22"/>
          <w:lang w:val="es-MX"/>
        </w:rPr>
        <w:t>315.6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millones, </w:t>
      </w:r>
      <w:r w:rsidR="00486288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con un aumento de 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$</w:t>
      </w:r>
      <w:r w:rsidR="004A169E" w:rsidRPr="0001362C">
        <w:rPr>
          <w:rFonts w:ascii="Museo Sans 300" w:hAnsi="Museo Sans 300" w:cstheme="minorHAnsi"/>
          <w:sz w:val="22"/>
          <w:szCs w:val="22"/>
          <w:lang w:val="es-MX"/>
        </w:rPr>
        <w:t>1</w:t>
      </w:r>
      <w:r w:rsidR="00486288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9.6 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millones en relación al mes de </w:t>
      </w:r>
      <w:r w:rsidR="00E22524" w:rsidRPr="0001362C">
        <w:rPr>
          <w:rFonts w:ascii="Museo Sans 300" w:hAnsi="Museo Sans 300" w:cstheme="minorHAnsi"/>
          <w:sz w:val="22"/>
          <w:szCs w:val="22"/>
          <w:lang w:val="es-MX"/>
        </w:rPr>
        <w:t>marzo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202</w:t>
      </w:r>
      <w:r w:rsidR="00E22524" w:rsidRPr="0001362C">
        <w:rPr>
          <w:rFonts w:ascii="Museo Sans 300" w:hAnsi="Museo Sans 300" w:cstheme="minorHAnsi"/>
          <w:sz w:val="22"/>
          <w:szCs w:val="22"/>
          <w:lang w:val="es-MX"/>
        </w:rPr>
        <w:t>4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, </w:t>
      </w:r>
      <w:bookmarkStart w:id="30" w:name="_Hlk190351482"/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reflejado en los subsectores del </w:t>
      </w:r>
      <w:r w:rsidRPr="0001362C">
        <w:rPr>
          <w:rFonts w:ascii="Museo Sans 300" w:hAnsi="Museo Sans 300" w:cstheme="minorHAnsi"/>
          <w:iCs/>
          <w:sz w:val="22"/>
          <w:szCs w:val="22"/>
        </w:rPr>
        <w:t>Gobierno Central</w:t>
      </w:r>
      <w:r w:rsidR="00486288" w:rsidRPr="0001362C">
        <w:rPr>
          <w:rFonts w:ascii="Museo Sans 300" w:hAnsi="Museo Sans 300" w:cstheme="minorHAnsi"/>
          <w:iCs/>
          <w:sz w:val="22"/>
          <w:szCs w:val="22"/>
        </w:rPr>
        <w:t>,</w:t>
      </w:r>
      <w:r w:rsidR="007A1A06" w:rsidRPr="0001362C">
        <w:rPr>
          <w:rFonts w:ascii="Museo Sans 300" w:hAnsi="Museo Sans 300" w:cstheme="minorHAnsi"/>
          <w:iCs/>
          <w:sz w:val="22"/>
          <w:szCs w:val="22"/>
        </w:rPr>
        <w:t xml:space="preserve"> </w:t>
      </w:r>
      <w:r w:rsidR="00486288" w:rsidRPr="0001362C">
        <w:rPr>
          <w:rFonts w:ascii="Museo Sans 300" w:hAnsi="Museo Sans 300" w:cstheme="minorHAnsi"/>
          <w:iCs/>
          <w:sz w:val="22"/>
          <w:szCs w:val="22"/>
        </w:rPr>
        <w:t>$9.7 millones;</w:t>
      </w:r>
      <w:r w:rsidRPr="0001362C">
        <w:rPr>
          <w:rFonts w:ascii="Museo Sans 300" w:hAnsi="Museo Sans 300" w:cstheme="minorHAnsi"/>
          <w:iCs/>
          <w:sz w:val="22"/>
          <w:szCs w:val="22"/>
        </w:rPr>
        <w:t xml:space="preserve"> </w:t>
      </w:r>
      <w:r w:rsidR="00486288"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Resto del Gobierno General, $8.9 millones </w:t>
      </w:r>
      <w:r w:rsidR="00232A56"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y 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las Empresas Públicas no Financieras, </w:t>
      </w:r>
      <w:r w:rsidRPr="0001362C">
        <w:rPr>
          <w:rFonts w:ascii="Museo Sans 300" w:hAnsi="Museo Sans 300" w:cstheme="minorHAnsi"/>
          <w:iCs/>
          <w:sz w:val="22"/>
          <w:szCs w:val="22"/>
        </w:rPr>
        <w:t xml:space="preserve">con </w:t>
      </w:r>
      <w:r w:rsidR="00474B1F" w:rsidRPr="0001362C">
        <w:rPr>
          <w:rFonts w:ascii="Museo Sans 300" w:hAnsi="Museo Sans 300" w:cstheme="minorHAnsi"/>
          <w:iCs/>
          <w:sz w:val="22"/>
          <w:szCs w:val="22"/>
        </w:rPr>
        <w:t xml:space="preserve">un crecimiento de </w:t>
      </w:r>
      <w:r w:rsidRPr="0001362C">
        <w:rPr>
          <w:rFonts w:ascii="Museo Sans 300" w:hAnsi="Museo Sans 300" w:cstheme="minorHAnsi"/>
          <w:iCs/>
          <w:sz w:val="22"/>
          <w:szCs w:val="22"/>
        </w:rPr>
        <w:t>$</w:t>
      </w:r>
      <w:r w:rsidR="00232A56" w:rsidRPr="0001362C">
        <w:rPr>
          <w:rFonts w:ascii="Museo Sans 300" w:hAnsi="Museo Sans 300" w:cstheme="minorHAnsi"/>
          <w:iCs/>
          <w:sz w:val="22"/>
          <w:szCs w:val="22"/>
        </w:rPr>
        <w:t>1.0</w:t>
      </w:r>
      <w:r w:rsidRPr="0001362C">
        <w:rPr>
          <w:rFonts w:ascii="Museo Sans 300" w:hAnsi="Museo Sans 300" w:cstheme="minorHAnsi"/>
          <w:iCs/>
          <w:sz w:val="22"/>
          <w:szCs w:val="22"/>
        </w:rPr>
        <w:t xml:space="preserve"> millones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>, respectivamente</w:t>
      </w:r>
      <w:bookmarkEnd w:id="30"/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. </w:t>
      </w:r>
    </w:p>
    <w:p w14:paraId="2F5F4FF8" w14:textId="77777777" w:rsidR="00DC052D" w:rsidRPr="0001362C" w:rsidRDefault="00DC052D" w:rsidP="00E61B3F">
      <w:pPr>
        <w:spacing w:line="276" w:lineRule="auto"/>
        <w:ind w:right="-32"/>
        <w:jc w:val="both"/>
        <w:rPr>
          <w:rFonts w:ascii="Museo Sans 300" w:hAnsi="Museo Sans 300" w:cstheme="minorHAnsi"/>
          <w:noProof/>
          <w:sz w:val="22"/>
          <w:szCs w:val="22"/>
          <w:lang w:val="es-SV"/>
        </w:rPr>
      </w:pPr>
    </w:p>
    <w:p w14:paraId="768B974F" w14:textId="758E51C6" w:rsidR="000E7ED7" w:rsidRPr="0001362C" w:rsidRDefault="00C953B7" w:rsidP="00055C62">
      <w:pPr>
        <w:pStyle w:val="Ttulo2"/>
        <w:spacing w:after="240"/>
        <w:rPr>
          <w:rFonts w:ascii="Museo Sans 300" w:hAnsi="Museo Sans 300" w:cstheme="minorHAnsi"/>
          <w:b w:val="0"/>
          <w:szCs w:val="22"/>
          <w:lang w:val="es-MX"/>
        </w:rPr>
      </w:pPr>
      <w:bookmarkStart w:id="31" w:name="_Toc205889704"/>
      <w:r w:rsidRPr="0001362C">
        <w:rPr>
          <w:rFonts w:ascii="Museo Sans 300" w:hAnsi="Museo Sans 300" w:cstheme="minorHAnsi"/>
          <w:szCs w:val="22"/>
          <w:lang w:val="es-MX"/>
        </w:rPr>
        <w:t>2.</w:t>
      </w:r>
      <w:r w:rsidR="000E7ED7" w:rsidRPr="0001362C">
        <w:rPr>
          <w:rFonts w:ascii="Museo Sans 300" w:hAnsi="Museo Sans 300" w:cstheme="minorHAnsi"/>
          <w:szCs w:val="22"/>
          <w:lang w:val="es-MX"/>
        </w:rPr>
        <w:t xml:space="preserve"> </w:t>
      </w:r>
      <w:bookmarkStart w:id="32" w:name="_Hlk128489558"/>
      <w:r w:rsidR="000E7ED7" w:rsidRPr="0001362C">
        <w:rPr>
          <w:rFonts w:ascii="Museo Sans 300" w:hAnsi="Museo Sans 300" w:cstheme="minorHAnsi"/>
          <w:szCs w:val="22"/>
          <w:lang w:val="es-MX"/>
        </w:rPr>
        <w:t xml:space="preserve">Gastos del Sector Público No Financiero </w:t>
      </w:r>
      <w:r w:rsidR="008E439C" w:rsidRPr="0001362C">
        <w:rPr>
          <w:rStyle w:val="Refdenotaalpie"/>
          <w:rFonts w:ascii="Museo Sans 300" w:hAnsi="Museo Sans 300" w:cstheme="minorHAnsi"/>
          <w:szCs w:val="22"/>
          <w:lang w:val="es-MX"/>
        </w:rPr>
        <w:footnoteReference w:id="2"/>
      </w:r>
      <w:bookmarkEnd w:id="31"/>
    </w:p>
    <w:p w14:paraId="6438B712" w14:textId="77777777" w:rsidR="00721F73" w:rsidRPr="0001362C" w:rsidRDefault="000E7ED7" w:rsidP="007C00E1">
      <w:pPr>
        <w:spacing w:line="276" w:lineRule="auto"/>
        <w:ind w:right="-32"/>
        <w:jc w:val="both"/>
        <w:rPr>
          <w:rFonts w:ascii="Museo Sans 300" w:hAnsi="Museo Sans 300" w:cstheme="minorHAnsi"/>
          <w:iCs/>
          <w:sz w:val="22"/>
          <w:szCs w:val="22"/>
          <w:lang w:val="es-MX"/>
        </w:rPr>
      </w:pPr>
      <w:bookmarkStart w:id="33" w:name="_Hlk190435757"/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La ejecución del gasto total del SPNF al mes de </w:t>
      </w:r>
      <w:r w:rsidR="00E22524"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marzo 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>de 202</w:t>
      </w:r>
      <w:r w:rsidR="00E22524" w:rsidRPr="0001362C">
        <w:rPr>
          <w:rFonts w:ascii="Museo Sans 300" w:hAnsi="Museo Sans 300" w:cstheme="minorHAnsi"/>
          <w:iCs/>
          <w:sz w:val="22"/>
          <w:szCs w:val="22"/>
          <w:lang w:val="es-MX"/>
        </w:rPr>
        <w:t>5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 ascendió a $</w:t>
      </w:r>
      <w:r w:rsidR="00232A56" w:rsidRPr="0001362C">
        <w:rPr>
          <w:rFonts w:ascii="Museo Sans 300" w:hAnsi="Museo Sans 300" w:cstheme="minorHAnsi"/>
          <w:iCs/>
          <w:sz w:val="22"/>
          <w:szCs w:val="22"/>
          <w:lang w:val="es-MX"/>
        </w:rPr>
        <w:t>2,461.6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 millones, con un</w:t>
      </w:r>
      <w:r w:rsidR="00232A56"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a disminución 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>de $</w:t>
      </w:r>
      <w:r w:rsidR="00232A56" w:rsidRPr="0001362C">
        <w:rPr>
          <w:rFonts w:ascii="Museo Sans 300" w:hAnsi="Museo Sans 300" w:cstheme="minorHAnsi"/>
          <w:iCs/>
          <w:sz w:val="22"/>
          <w:szCs w:val="22"/>
          <w:lang w:val="es-MX"/>
        </w:rPr>
        <w:t>73.1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 millones con respecto al </w:t>
      </w:r>
      <w:r w:rsidR="00B6261C"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mismo mes del 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año anterior. Los gastos totales representaron en términos del PIB, un </w:t>
      </w:r>
      <w:r w:rsidR="00232A56" w:rsidRPr="0001362C">
        <w:rPr>
          <w:rFonts w:ascii="Museo Sans 300" w:hAnsi="Museo Sans 300" w:cstheme="minorHAnsi"/>
          <w:iCs/>
          <w:sz w:val="22"/>
          <w:szCs w:val="22"/>
          <w:lang w:val="es-MX"/>
        </w:rPr>
        <w:t>6.7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%, </w:t>
      </w:r>
      <w:r w:rsidR="00232A56" w:rsidRPr="0001362C">
        <w:rPr>
          <w:rFonts w:ascii="Museo Sans 300" w:hAnsi="Museo Sans 300" w:cstheme="minorHAnsi"/>
          <w:iCs/>
          <w:sz w:val="22"/>
          <w:szCs w:val="22"/>
          <w:lang w:val="es-MX"/>
        </w:rPr>
        <w:t>disminuyendo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 en </w:t>
      </w:r>
      <w:r w:rsidR="00232A56" w:rsidRPr="0001362C">
        <w:rPr>
          <w:rFonts w:ascii="Museo Sans 300" w:hAnsi="Museo Sans 300" w:cstheme="minorHAnsi"/>
          <w:iCs/>
          <w:sz w:val="22"/>
          <w:szCs w:val="22"/>
          <w:lang w:val="es-MX"/>
        </w:rPr>
        <w:t>0.5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 puntos porcentuales con respecto </w:t>
      </w:r>
      <w:r w:rsidR="00724E84" w:rsidRPr="0001362C">
        <w:rPr>
          <w:rFonts w:ascii="Museo Sans 300" w:hAnsi="Museo Sans 300" w:cstheme="minorHAnsi"/>
          <w:iCs/>
          <w:sz w:val="22"/>
          <w:szCs w:val="22"/>
          <w:lang w:val="es-MX"/>
        </w:rPr>
        <w:t>a marzo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 202</w:t>
      </w:r>
      <w:r w:rsidR="00E22524" w:rsidRPr="0001362C">
        <w:rPr>
          <w:rFonts w:ascii="Museo Sans 300" w:hAnsi="Museo Sans 300" w:cstheme="minorHAnsi"/>
          <w:iCs/>
          <w:sz w:val="22"/>
          <w:szCs w:val="22"/>
          <w:lang w:val="es-MX"/>
        </w:rPr>
        <w:t>4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>.</w:t>
      </w:r>
      <w:bookmarkEnd w:id="32"/>
      <w:bookmarkEnd w:id="33"/>
    </w:p>
    <w:p w14:paraId="6ED413AA" w14:textId="77777777" w:rsidR="007C00E1" w:rsidRPr="0001362C" w:rsidRDefault="007C00E1" w:rsidP="007C00E1">
      <w:pPr>
        <w:spacing w:line="276" w:lineRule="auto"/>
        <w:ind w:right="-32"/>
        <w:jc w:val="both"/>
        <w:rPr>
          <w:rFonts w:ascii="Museo Sans 300" w:hAnsi="Museo Sans 300" w:cstheme="minorHAnsi"/>
          <w:iCs/>
          <w:sz w:val="22"/>
          <w:szCs w:val="22"/>
          <w:lang w:val="es-MX"/>
        </w:rPr>
      </w:pPr>
    </w:p>
    <w:p w14:paraId="590350B3" w14:textId="77777777" w:rsidR="000E7ED7" w:rsidRPr="0001362C" w:rsidRDefault="000E7ED7" w:rsidP="00055C62">
      <w:pPr>
        <w:spacing w:after="240" w:line="276" w:lineRule="auto"/>
        <w:jc w:val="center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Gráfico 4: Evolución del Gasto Público Total del SPNF </w:t>
      </w:r>
      <w:r w:rsidR="00724E84" w:rsidRPr="0001362C">
        <w:rPr>
          <w:rFonts w:ascii="Museo Sans 300" w:hAnsi="Museo Sans 300" w:cstheme="minorHAnsi"/>
          <w:i/>
          <w:sz w:val="22"/>
          <w:szCs w:val="22"/>
          <w:lang w:val="es-MX"/>
        </w:rPr>
        <w:t>a marzo</w:t>
      </w: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 20</w:t>
      </w:r>
      <w:r w:rsidR="000A13D8" w:rsidRPr="0001362C">
        <w:rPr>
          <w:rFonts w:ascii="Museo Sans 300" w:hAnsi="Museo Sans 300" w:cstheme="minorHAnsi"/>
          <w:i/>
          <w:sz w:val="22"/>
          <w:szCs w:val="22"/>
          <w:lang w:val="es-MX"/>
        </w:rPr>
        <w:t>20</w:t>
      </w: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 -202</w:t>
      </w:r>
      <w:r w:rsidR="00FF42D1" w:rsidRPr="0001362C">
        <w:rPr>
          <w:rFonts w:ascii="Museo Sans 300" w:hAnsi="Museo Sans 300" w:cstheme="minorHAnsi"/>
          <w:i/>
          <w:sz w:val="22"/>
          <w:szCs w:val="22"/>
          <w:lang w:val="es-MX"/>
        </w:rPr>
        <w:t>5</w:t>
      </w: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 </w:t>
      </w:r>
    </w:p>
    <w:p w14:paraId="6F3BCB40" w14:textId="60A31F2A" w:rsidR="000E7ED7" w:rsidRPr="0001362C" w:rsidRDefault="001E18EE" w:rsidP="00E61B3F">
      <w:pPr>
        <w:spacing w:line="276" w:lineRule="auto"/>
        <w:jc w:val="center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/>
          <w:noProof/>
          <w:sz w:val="22"/>
          <w:szCs w:val="22"/>
        </w:rPr>
        <w:drawing>
          <wp:inline distT="0" distB="0" distL="0" distR="0" wp14:anchorId="6CEF7F9F" wp14:editId="3AFFF025">
            <wp:extent cx="5486400" cy="32004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3F1497D" w14:textId="77777777" w:rsidR="00071688" w:rsidRPr="00806290" w:rsidRDefault="009A5107" w:rsidP="00E61B3F">
      <w:pPr>
        <w:pStyle w:val="Ttulo3"/>
        <w:spacing w:line="276" w:lineRule="auto"/>
        <w:rPr>
          <w:rFonts w:ascii="Museo Sans 300" w:hAnsi="Museo Sans 300" w:cstheme="minorHAnsi"/>
          <w:color w:val="auto"/>
          <w:sz w:val="18"/>
          <w:szCs w:val="18"/>
          <w:lang w:val="es-MX"/>
        </w:rPr>
      </w:pPr>
      <w:bookmarkStart w:id="34" w:name="_Toc411843465"/>
      <w:bookmarkStart w:id="35" w:name="_Toc56581211"/>
      <w:bookmarkStart w:id="36" w:name="_Toc169162414"/>
      <w:r w:rsidRPr="00806290">
        <w:rPr>
          <w:rFonts w:ascii="Museo Sans 300" w:hAnsi="Museo Sans 300" w:cstheme="minorHAnsi"/>
          <w:color w:val="auto"/>
          <w:szCs w:val="22"/>
          <w:lang w:val="es-MX"/>
        </w:rPr>
        <w:t xml:space="preserve">                </w:t>
      </w:r>
      <w:bookmarkStart w:id="37" w:name="_Toc205889705"/>
      <w:r w:rsidRPr="00806290">
        <w:rPr>
          <w:rFonts w:ascii="Museo Sans 300" w:hAnsi="Museo Sans 300" w:cstheme="minorHAnsi"/>
          <w:color w:val="auto"/>
          <w:sz w:val="18"/>
          <w:szCs w:val="18"/>
          <w:lang w:val="es-MX"/>
        </w:rPr>
        <w:t>Fuente: Ministerio de Hacienda</w:t>
      </w:r>
      <w:bookmarkEnd w:id="37"/>
    </w:p>
    <w:p w14:paraId="3A9D2856" w14:textId="77777777" w:rsidR="00890928" w:rsidRPr="00806290" w:rsidRDefault="00890928" w:rsidP="007C00E1">
      <w:pPr>
        <w:pStyle w:val="Ttulo3"/>
        <w:spacing w:line="480" w:lineRule="auto"/>
        <w:rPr>
          <w:rFonts w:ascii="Museo Sans 300" w:hAnsi="Museo Sans 300" w:cstheme="minorHAnsi"/>
          <w:color w:val="auto"/>
          <w:szCs w:val="22"/>
          <w:lang w:val="es-MX"/>
        </w:rPr>
      </w:pPr>
    </w:p>
    <w:p w14:paraId="3A21429C" w14:textId="77777777" w:rsidR="000E7ED7" w:rsidRPr="0001362C" w:rsidRDefault="000E7ED7" w:rsidP="007C00E1">
      <w:pPr>
        <w:pStyle w:val="Ttulo3"/>
        <w:spacing w:line="480" w:lineRule="auto"/>
        <w:rPr>
          <w:rFonts w:ascii="Museo Sans 300" w:hAnsi="Museo Sans 300" w:cstheme="minorHAnsi"/>
          <w:szCs w:val="22"/>
          <w:lang w:val="es-MX"/>
        </w:rPr>
      </w:pPr>
      <w:bookmarkStart w:id="38" w:name="_Toc205889706"/>
      <w:r w:rsidRPr="0001362C">
        <w:rPr>
          <w:rFonts w:ascii="Museo Sans 300" w:hAnsi="Museo Sans 300" w:cstheme="minorHAnsi"/>
          <w:szCs w:val="22"/>
          <w:lang w:val="es-MX"/>
        </w:rPr>
        <w:t>2.1 Gastos corrientes</w:t>
      </w:r>
      <w:bookmarkEnd w:id="34"/>
      <w:bookmarkEnd w:id="35"/>
      <w:bookmarkEnd w:id="36"/>
      <w:bookmarkEnd w:id="38"/>
    </w:p>
    <w:p w14:paraId="29052C92" w14:textId="5444CDB4" w:rsidR="000E7ED7" w:rsidRPr="0001362C" w:rsidRDefault="000E7ED7" w:rsidP="00E61B3F">
      <w:pPr>
        <w:pStyle w:val="Textoindependiente2"/>
        <w:spacing w:after="0" w:line="276" w:lineRule="auto"/>
        <w:ind w:right="-32"/>
        <w:jc w:val="both"/>
        <w:rPr>
          <w:rFonts w:ascii="Museo Sans 300" w:hAnsi="Museo Sans 300" w:cstheme="minorHAnsi"/>
          <w:iCs/>
          <w:sz w:val="22"/>
          <w:szCs w:val="22"/>
          <w:lang w:val="es-MX"/>
        </w:rPr>
      </w:pPr>
      <w:bookmarkStart w:id="39" w:name="_Hlk190435963"/>
      <w:bookmarkStart w:id="40" w:name="_Hlk128489576"/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>Los gastos corrientes del SPNF registraron un monto de $</w:t>
      </w:r>
      <w:r w:rsidR="00403B4D" w:rsidRPr="0001362C">
        <w:rPr>
          <w:rFonts w:ascii="Museo Sans 300" w:hAnsi="Museo Sans 300" w:cstheme="minorHAnsi"/>
          <w:iCs/>
          <w:sz w:val="22"/>
          <w:szCs w:val="22"/>
          <w:lang w:val="es-MX"/>
        </w:rPr>
        <w:t>2,089.4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 millones, mostrando un</w:t>
      </w:r>
      <w:r w:rsidR="00403B4D" w:rsidRPr="0001362C">
        <w:rPr>
          <w:rFonts w:ascii="Museo Sans 300" w:hAnsi="Museo Sans 300" w:cstheme="minorHAnsi"/>
          <w:iCs/>
          <w:sz w:val="22"/>
          <w:szCs w:val="22"/>
          <w:lang w:val="es-MX"/>
        </w:rPr>
        <w:t>a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 </w:t>
      </w:r>
      <w:r w:rsidR="00403B4D"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disminución 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>anual de 10.</w:t>
      </w:r>
      <w:r w:rsidR="00403B4D" w:rsidRPr="0001362C">
        <w:rPr>
          <w:rFonts w:ascii="Museo Sans 300" w:hAnsi="Museo Sans 300" w:cstheme="minorHAnsi"/>
          <w:iCs/>
          <w:sz w:val="22"/>
          <w:szCs w:val="22"/>
          <w:lang w:val="es-MX"/>
        </w:rPr>
        <w:t>3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%, observado principalmente en los rubros de </w:t>
      </w:r>
      <w:r w:rsidR="00403B4D" w:rsidRPr="0001362C">
        <w:rPr>
          <w:rFonts w:ascii="Museo Sans 300" w:hAnsi="Museo Sans 300" w:cstheme="minorHAnsi"/>
          <w:iCs/>
          <w:sz w:val="22"/>
          <w:szCs w:val="22"/>
          <w:lang w:val="es-MX"/>
        </w:rPr>
        <w:lastRenderedPageBreak/>
        <w:t>remuneraciones e intereses de la deuda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. Como porcentaje del PIB el gasto corriente </w:t>
      </w:r>
      <w:r w:rsidR="00677617"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equivale a </w:t>
      </w:r>
      <w:r w:rsidR="00403B4D" w:rsidRPr="0001362C">
        <w:rPr>
          <w:rFonts w:ascii="Museo Sans 300" w:hAnsi="Museo Sans 300" w:cstheme="minorHAnsi"/>
          <w:iCs/>
          <w:sz w:val="22"/>
          <w:szCs w:val="22"/>
          <w:lang w:val="es-MX"/>
        </w:rPr>
        <w:t>5.7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>%, registrando un</w:t>
      </w:r>
      <w:r w:rsidR="00403B4D" w:rsidRPr="0001362C">
        <w:rPr>
          <w:rFonts w:ascii="Museo Sans 300" w:hAnsi="Museo Sans 300" w:cstheme="minorHAnsi"/>
          <w:iCs/>
          <w:sz w:val="22"/>
          <w:szCs w:val="22"/>
          <w:lang w:val="es-MX"/>
        </w:rPr>
        <w:t>a disminución de 0.9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 puntos porcentuales con respecto al mismo período del año anterior.</w:t>
      </w:r>
    </w:p>
    <w:bookmarkEnd w:id="39"/>
    <w:p w14:paraId="468BA4F8" w14:textId="77777777" w:rsidR="000E7ED7" w:rsidRPr="0001362C" w:rsidRDefault="000E7ED7" w:rsidP="00E61B3F">
      <w:pPr>
        <w:pStyle w:val="Textoindependiente2"/>
        <w:spacing w:after="0" w:line="276" w:lineRule="auto"/>
        <w:ind w:right="-32"/>
        <w:jc w:val="both"/>
        <w:rPr>
          <w:rFonts w:ascii="Museo Sans 300" w:hAnsi="Museo Sans 300" w:cstheme="minorHAnsi"/>
          <w:iCs/>
          <w:strike/>
          <w:sz w:val="22"/>
          <w:szCs w:val="22"/>
          <w:lang w:val="es-MX"/>
        </w:rPr>
      </w:pPr>
    </w:p>
    <w:bookmarkEnd w:id="40"/>
    <w:p w14:paraId="7644A651" w14:textId="77777777" w:rsidR="000E7ED7" w:rsidRPr="0001362C" w:rsidRDefault="000E7ED7" w:rsidP="00E61B3F">
      <w:pPr>
        <w:pStyle w:val="Textoindependiente2"/>
        <w:spacing w:after="0" w:line="276" w:lineRule="auto"/>
        <w:ind w:right="-32"/>
        <w:jc w:val="both"/>
        <w:rPr>
          <w:rFonts w:ascii="Museo Sans 300" w:hAnsi="Museo Sans 300" w:cstheme="minorHAnsi"/>
          <w:iCs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>De forma detallada los gastos de consumo, ascendieron a $</w:t>
      </w:r>
      <w:r w:rsidR="00403B4D" w:rsidRPr="0001362C">
        <w:rPr>
          <w:rFonts w:ascii="Museo Sans 300" w:hAnsi="Museo Sans 300" w:cstheme="minorHAnsi"/>
          <w:iCs/>
          <w:sz w:val="22"/>
          <w:szCs w:val="22"/>
          <w:lang w:val="es-MX"/>
        </w:rPr>
        <w:t>1,246.9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 millones, mostrando un</w:t>
      </w:r>
      <w:r w:rsidR="00403B4D"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a disminución 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>de $</w:t>
      </w:r>
      <w:r w:rsidR="00403B4D" w:rsidRPr="0001362C">
        <w:rPr>
          <w:rFonts w:ascii="Museo Sans 300" w:hAnsi="Museo Sans 300" w:cstheme="minorHAnsi"/>
          <w:iCs/>
          <w:sz w:val="22"/>
          <w:szCs w:val="22"/>
          <w:lang w:val="es-MX"/>
        </w:rPr>
        <w:t>215.7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 millones con respecto </w:t>
      </w:r>
      <w:r w:rsidR="00724E84" w:rsidRPr="0001362C">
        <w:rPr>
          <w:rFonts w:ascii="Museo Sans 300" w:hAnsi="Museo Sans 300" w:cstheme="minorHAnsi"/>
          <w:iCs/>
          <w:sz w:val="22"/>
          <w:szCs w:val="22"/>
          <w:lang w:val="es-MX"/>
        </w:rPr>
        <w:t>a marzo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 202</w:t>
      </w:r>
      <w:r w:rsidR="00E22524" w:rsidRPr="0001362C">
        <w:rPr>
          <w:rFonts w:ascii="Museo Sans 300" w:hAnsi="Museo Sans 300" w:cstheme="minorHAnsi"/>
          <w:iCs/>
          <w:sz w:val="22"/>
          <w:szCs w:val="22"/>
          <w:lang w:val="es-MX"/>
        </w:rPr>
        <w:t>4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 donde las remuneraciones registraron un valor de $</w:t>
      </w:r>
      <w:r w:rsidR="00EE08A6" w:rsidRPr="0001362C">
        <w:rPr>
          <w:rFonts w:ascii="Museo Sans 300" w:hAnsi="Museo Sans 300" w:cstheme="minorHAnsi"/>
          <w:iCs/>
          <w:sz w:val="22"/>
          <w:szCs w:val="22"/>
          <w:lang w:val="es-MX"/>
        </w:rPr>
        <w:t>855.3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 millones con un</w:t>
      </w:r>
      <w:r w:rsidR="00EE08A6" w:rsidRPr="0001362C">
        <w:rPr>
          <w:rFonts w:ascii="Museo Sans 300" w:hAnsi="Museo Sans 300" w:cstheme="minorHAnsi"/>
          <w:iCs/>
          <w:sz w:val="22"/>
          <w:szCs w:val="22"/>
          <w:lang w:val="es-MX"/>
        </w:rPr>
        <w:t>a disminución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 de $</w:t>
      </w:r>
      <w:r w:rsidR="00EE08A6" w:rsidRPr="0001362C">
        <w:rPr>
          <w:rFonts w:ascii="Museo Sans 300" w:hAnsi="Museo Sans 300" w:cstheme="minorHAnsi"/>
          <w:iCs/>
          <w:sz w:val="22"/>
          <w:szCs w:val="22"/>
          <w:lang w:val="es-MX"/>
        </w:rPr>
        <w:t>215.9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 millones (</w:t>
      </w:r>
      <w:r w:rsidR="00EE08A6" w:rsidRPr="0001362C">
        <w:rPr>
          <w:rFonts w:ascii="Museo Sans 300" w:hAnsi="Museo Sans 300" w:cstheme="minorHAnsi"/>
          <w:iCs/>
          <w:sz w:val="22"/>
          <w:szCs w:val="22"/>
          <w:lang w:val="es-MX"/>
        </w:rPr>
        <w:t>20.2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>%) con respecto al año anterior</w:t>
      </w:r>
      <w:r w:rsidR="007C2CD3" w:rsidRPr="0001362C">
        <w:rPr>
          <w:rFonts w:ascii="Museo Sans 300" w:hAnsi="Museo Sans 300" w:cstheme="minorHAnsi"/>
          <w:sz w:val="22"/>
          <w:szCs w:val="22"/>
        </w:rPr>
        <w:t xml:space="preserve">; por su parte, 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el </w:t>
      </w:r>
      <w:r w:rsidR="00B46567" w:rsidRPr="0001362C">
        <w:rPr>
          <w:rFonts w:ascii="Museo Sans 300" w:hAnsi="Museo Sans 300" w:cstheme="minorHAnsi"/>
          <w:iCs/>
          <w:sz w:val="22"/>
          <w:szCs w:val="22"/>
          <w:lang w:val="es-MX"/>
        </w:rPr>
        <w:t>r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ubro de </w:t>
      </w:r>
      <w:r w:rsidR="00B46567" w:rsidRPr="0001362C">
        <w:rPr>
          <w:rFonts w:ascii="Museo Sans 300" w:hAnsi="Museo Sans 300" w:cstheme="minorHAnsi"/>
          <w:iCs/>
          <w:sz w:val="22"/>
          <w:szCs w:val="22"/>
          <w:lang w:val="es-MX"/>
        </w:rPr>
        <w:t>b</w:t>
      </w:r>
      <w:r w:rsidR="00E15344" w:rsidRPr="0001362C">
        <w:rPr>
          <w:rFonts w:ascii="Museo Sans 300" w:hAnsi="Museo Sans 300" w:cstheme="minorHAnsi"/>
          <w:iCs/>
          <w:sz w:val="22"/>
          <w:szCs w:val="22"/>
          <w:lang w:val="es-MX"/>
        </w:rPr>
        <w:t>i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enes y </w:t>
      </w:r>
      <w:r w:rsidR="00B46567" w:rsidRPr="0001362C">
        <w:rPr>
          <w:rFonts w:ascii="Museo Sans 300" w:hAnsi="Museo Sans 300" w:cstheme="minorHAnsi"/>
          <w:iCs/>
          <w:sz w:val="22"/>
          <w:szCs w:val="22"/>
          <w:lang w:val="es-MX"/>
        </w:rPr>
        <w:t>s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ervicios </w:t>
      </w:r>
      <w:r w:rsidR="00DC052D" w:rsidRPr="0001362C">
        <w:rPr>
          <w:rFonts w:ascii="Museo Sans 300" w:hAnsi="Museo Sans 300" w:cstheme="minorHAnsi"/>
          <w:iCs/>
          <w:sz w:val="22"/>
          <w:szCs w:val="22"/>
          <w:lang w:val="es-MX"/>
        </w:rPr>
        <w:t>registr</w:t>
      </w:r>
      <w:r w:rsidR="007C2CD3" w:rsidRPr="0001362C">
        <w:rPr>
          <w:rFonts w:ascii="Museo Sans 300" w:hAnsi="Museo Sans 300" w:cstheme="minorHAnsi"/>
          <w:iCs/>
          <w:sz w:val="22"/>
          <w:szCs w:val="22"/>
          <w:lang w:val="es-MX"/>
        </w:rPr>
        <w:t>ó</w:t>
      </w:r>
      <w:r w:rsidR="00DC052D"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 $</w:t>
      </w:r>
      <w:r w:rsidR="00EE08A6" w:rsidRPr="0001362C">
        <w:rPr>
          <w:rFonts w:ascii="Museo Sans 300" w:hAnsi="Museo Sans 300" w:cstheme="minorHAnsi"/>
          <w:iCs/>
          <w:sz w:val="22"/>
          <w:szCs w:val="22"/>
          <w:lang w:val="es-MX"/>
        </w:rPr>
        <w:t>391.6</w:t>
      </w:r>
      <w:r w:rsidR="00DC052D"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 millones, </w:t>
      </w:r>
      <w:r w:rsidR="007C2CD3" w:rsidRPr="0001362C">
        <w:rPr>
          <w:rFonts w:ascii="Museo Sans 300" w:hAnsi="Museo Sans 300" w:cstheme="minorHAnsi"/>
          <w:iCs/>
          <w:sz w:val="22"/>
          <w:szCs w:val="22"/>
          <w:lang w:val="es-MX"/>
        </w:rPr>
        <w:t>con un aumento de</w:t>
      </w:r>
      <w:r w:rsidR="00EE08A6"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 solo 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$ </w:t>
      </w:r>
      <w:r w:rsidR="00EE08A6" w:rsidRPr="0001362C">
        <w:rPr>
          <w:rFonts w:ascii="Museo Sans 300" w:hAnsi="Museo Sans 300" w:cstheme="minorHAnsi"/>
          <w:iCs/>
          <w:sz w:val="22"/>
          <w:szCs w:val="22"/>
          <w:lang w:val="es-MX"/>
        </w:rPr>
        <w:t>0.2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 millones (</w:t>
      </w:r>
      <w:r w:rsidR="00EE08A6" w:rsidRPr="0001362C">
        <w:rPr>
          <w:rFonts w:ascii="Museo Sans 300" w:hAnsi="Museo Sans 300" w:cstheme="minorHAnsi"/>
          <w:iCs/>
          <w:sz w:val="22"/>
          <w:szCs w:val="22"/>
          <w:lang w:val="es-MX"/>
        </w:rPr>
        <w:t>0.1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>%).</w:t>
      </w:r>
    </w:p>
    <w:p w14:paraId="42AD64AA" w14:textId="77777777" w:rsidR="000E7ED7" w:rsidRPr="0001362C" w:rsidRDefault="000E7ED7" w:rsidP="00E61B3F">
      <w:pPr>
        <w:spacing w:line="276" w:lineRule="auto"/>
        <w:jc w:val="both"/>
        <w:rPr>
          <w:rFonts w:ascii="Museo Sans 300" w:hAnsi="Museo Sans 300" w:cstheme="minorHAnsi"/>
          <w:iCs/>
          <w:sz w:val="22"/>
          <w:szCs w:val="22"/>
          <w:lang w:val="es-MX"/>
        </w:rPr>
      </w:pPr>
    </w:p>
    <w:p w14:paraId="10FBB5B0" w14:textId="77777777" w:rsidR="000E7ED7" w:rsidRPr="0001362C" w:rsidRDefault="000E7ED7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</w:rPr>
      </w:pP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>Los intereses de la deuda alcanzaron un valor de $</w:t>
      </w:r>
      <w:r w:rsidR="00EE08A6" w:rsidRPr="0001362C">
        <w:rPr>
          <w:rFonts w:ascii="Museo Sans 300" w:hAnsi="Museo Sans 300" w:cstheme="minorHAnsi"/>
          <w:iCs/>
          <w:sz w:val="22"/>
          <w:szCs w:val="22"/>
          <w:lang w:val="es-MX"/>
        </w:rPr>
        <w:t>431.5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 millones, experimentando un</w:t>
      </w:r>
      <w:r w:rsidR="00EE08A6" w:rsidRPr="0001362C">
        <w:rPr>
          <w:rFonts w:ascii="Museo Sans 300" w:hAnsi="Museo Sans 300" w:cstheme="minorHAnsi"/>
          <w:iCs/>
          <w:sz w:val="22"/>
          <w:szCs w:val="22"/>
          <w:lang w:val="es-MX"/>
        </w:rPr>
        <w:t>a disminución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 de $</w:t>
      </w:r>
      <w:r w:rsidR="00EE08A6" w:rsidRPr="0001362C">
        <w:rPr>
          <w:rFonts w:ascii="Museo Sans 300" w:hAnsi="Museo Sans 300" w:cstheme="minorHAnsi"/>
          <w:iCs/>
          <w:sz w:val="22"/>
          <w:szCs w:val="22"/>
          <w:lang w:val="es-MX"/>
        </w:rPr>
        <w:t>35.8</w:t>
      </w:r>
      <w:r w:rsidRPr="0001362C">
        <w:rPr>
          <w:rFonts w:ascii="Museo Sans 300" w:hAnsi="Museo Sans 300" w:cstheme="minorHAnsi"/>
          <w:iCs/>
          <w:sz w:val="22"/>
          <w:szCs w:val="22"/>
          <w:lang w:val="es-MX"/>
        </w:rPr>
        <w:t xml:space="preserve"> millones con respecto al año anterior</w:t>
      </w:r>
      <w:r w:rsidR="00D660B6" w:rsidRPr="0001362C">
        <w:rPr>
          <w:rFonts w:ascii="Museo Sans 300" w:hAnsi="Museo Sans 300" w:cstheme="minorHAnsi"/>
          <w:sz w:val="22"/>
          <w:szCs w:val="22"/>
        </w:rPr>
        <w:t>.</w:t>
      </w:r>
    </w:p>
    <w:p w14:paraId="2375D1F1" w14:textId="77777777" w:rsidR="000E7ED7" w:rsidRPr="0001362C" w:rsidRDefault="000E7ED7" w:rsidP="00E61B3F">
      <w:pPr>
        <w:spacing w:line="276" w:lineRule="auto"/>
        <w:jc w:val="both"/>
        <w:rPr>
          <w:rFonts w:ascii="Museo Sans 300" w:hAnsi="Museo Sans 300" w:cstheme="minorHAnsi"/>
          <w:iCs/>
          <w:sz w:val="22"/>
          <w:szCs w:val="22"/>
          <w:lang w:val="es-MX"/>
        </w:rPr>
      </w:pPr>
    </w:p>
    <w:p w14:paraId="07034810" w14:textId="1D35EEFA" w:rsidR="0087550F" w:rsidRPr="001068B2" w:rsidRDefault="000E7ED7" w:rsidP="00E61B3F">
      <w:pPr>
        <w:pStyle w:val="NormalWeb"/>
        <w:shd w:val="clear" w:color="auto" w:fill="FFFFFF"/>
        <w:spacing w:before="0" w:beforeAutospacing="0" w:after="143" w:afterAutospacing="0" w:line="276" w:lineRule="auto"/>
        <w:jc w:val="both"/>
        <w:rPr>
          <w:rFonts w:ascii="Museo Sans 300" w:hAnsi="Museo Sans 300" w:cstheme="minorHAnsi"/>
          <w:iCs/>
          <w:sz w:val="22"/>
          <w:szCs w:val="22"/>
          <w:lang w:val="es-MX" w:eastAsia="es-ES"/>
        </w:rPr>
      </w:pPr>
      <w:r w:rsidRPr="001068B2">
        <w:rPr>
          <w:rFonts w:ascii="Museo Sans 300" w:hAnsi="Museo Sans 300" w:cstheme="minorHAnsi"/>
          <w:iCs/>
          <w:sz w:val="22"/>
          <w:szCs w:val="22"/>
          <w:lang w:val="es-MX"/>
        </w:rPr>
        <w:t>En cuanto a las transferencias corrientes, éstas ascendieron a $</w:t>
      </w:r>
      <w:r w:rsidR="00EE08A6" w:rsidRPr="001068B2">
        <w:rPr>
          <w:rFonts w:ascii="Museo Sans 300" w:hAnsi="Museo Sans 300" w:cstheme="minorHAnsi"/>
          <w:iCs/>
          <w:sz w:val="22"/>
          <w:szCs w:val="22"/>
          <w:lang w:val="es-MX"/>
        </w:rPr>
        <w:t>411.1</w:t>
      </w:r>
      <w:r w:rsidRPr="001068B2">
        <w:rPr>
          <w:rFonts w:ascii="Museo Sans 300" w:hAnsi="Museo Sans 300" w:cstheme="minorHAnsi"/>
          <w:iCs/>
          <w:sz w:val="22"/>
          <w:szCs w:val="22"/>
          <w:lang w:val="es-MX"/>
        </w:rPr>
        <w:t xml:space="preserve"> millones, mostrando un</w:t>
      </w:r>
      <w:r w:rsidR="00DF46A6" w:rsidRPr="001068B2">
        <w:rPr>
          <w:rFonts w:ascii="Museo Sans 300" w:hAnsi="Museo Sans 300" w:cstheme="minorHAnsi"/>
          <w:iCs/>
          <w:sz w:val="22"/>
          <w:szCs w:val="22"/>
          <w:lang w:val="es-MX"/>
        </w:rPr>
        <w:t xml:space="preserve"> aumento</w:t>
      </w:r>
      <w:r w:rsidRPr="001068B2">
        <w:rPr>
          <w:rFonts w:ascii="Museo Sans 300" w:hAnsi="Museo Sans 300" w:cstheme="minorHAnsi"/>
          <w:iCs/>
          <w:sz w:val="22"/>
          <w:szCs w:val="22"/>
          <w:lang w:val="es-MX"/>
        </w:rPr>
        <w:t xml:space="preserve"> </w:t>
      </w:r>
      <w:r w:rsidR="002E06B9" w:rsidRPr="001068B2">
        <w:rPr>
          <w:rFonts w:ascii="Museo Sans 300" w:hAnsi="Museo Sans 300" w:cstheme="minorHAnsi"/>
          <w:iCs/>
          <w:sz w:val="22"/>
          <w:szCs w:val="22"/>
          <w:lang w:val="es-MX"/>
        </w:rPr>
        <w:t xml:space="preserve">en términos netos </w:t>
      </w:r>
      <w:r w:rsidRPr="001068B2">
        <w:rPr>
          <w:rFonts w:ascii="Museo Sans 300" w:hAnsi="Museo Sans 300" w:cstheme="minorHAnsi"/>
          <w:iCs/>
          <w:sz w:val="22"/>
          <w:szCs w:val="22"/>
          <w:lang w:val="es-MX"/>
        </w:rPr>
        <w:t xml:space="preserve">con respecto al </w:t>
      </w:r>
      <w:r w:rsidR="00B6261C" w:rsidRPr="001068B2">
        <w:rPr>
          <w:rFonts w:ascii="Museo Sans 300" w:hAnsi="Museo Sans 300" w:cstheme="minorHAnsi"/>
          <w:iCs/>
          <w:sz w:val="22"/>
          <w:szCs w:val="22"/>
          <w:lang w:val="es-MX"/>
        </w:rPr>
        <w:t xml:space="preserve">mismo mes del </w:t>
      </w:r>
      <w:r w:rsidRPr="001068B2">
        <w:rPr>
          <w:rFonts w:ascii="Museo Sans 300" w:hAnsi="Museo Sans 300" w:cstheme="minorHAnsi"/>
          <w:iCs/>
          <w:sz w:val="22"/>
          <w:szCs w:val="22"/>
          <w:lang w:val="es-MX"/>
        </w:rPr>
        <w:t>año anterior de $</w:t>
      </w:r>
      <w:r w:rsidR="00620081" w:rsidRPr="001068B2">
        <w:rPr>
          <w:rFonts w:ascii="Museo Sans 300" w:hAnsi="Museo Sans 300" w:cstheme="minorHAnsi"/>
          <w:iCs/>
          <w:sz w:val="22"/>
          <w:szCs w:val="22"/>
          <w:lang w:val="es-MX"/>
        </w:rPr>
        <w:t>10.7</w:t>
      </w:r>
      <w:r w:rsidRPr="001068B2">
        <w:rPr>
          <w:rFonts w:ascii="Museo Sans 300" w:hAnsi="Museo Sans 300" w:cstheme="minorHAnsi"/>
          <w:iCs/>
          <w:sz w:val="22"/>
          <w:szCs w:val="22"/>
          <w:lang w:val="es-MX"/>
        </w:rPr>
        <w:t xml:space="preserve"> millones. </w:t>
      </w:r>
      <w:r w:rsidR="001F71D6" w:rsidRPr="001068B2">
        <w:rPr>
          <w:rFonts w:ascii="Museo Sans 300" w:hAnsi="Museo Sans 300" w:cstheme="minorHAnsi"/>
          <w:iCs/>
          <w:sz w:val="22"/>
          <w:szCs w:val="22"/>
          <w:lang w:val="es-MX" w:eastAsia="es-ES"/>
        </w:rPr>
        <w:t>Entre las erogaciones transferidas</w:t>
      </w:r>
      <w:r w:rsidR="00677617" w:rsidRPr="001068B2">
        <w:rPr>
          <w:rFonts w:ascii="Museo Sans 300" w:hAnsi="Museo Sans 300" w:cstheme="minorHAnsi"/>
          <w:iCs/>
          <w:sz w:val="22"/>
          <w:szCs w:val="22"/>
          <w:lang w:val="es-MX" w:eastAsia="es-ES"/>
        </w:rPr>
        <w:t xml:space="preserve"> con mayor relevancia </w:t>
      </w:r>
      <w:r w:rsidR="00154FC8" w:rsidRPr="001068B2">
        <w:rPr>
          <w:rFonts w:ascii="Museo Sans 300" w:hAnsi="Museo Sans 300" w:cstheme="minorHAnsi"/>
          <w:iCs/>
          <w:sz w:val="22"/>
          <w:szCs w:val="22"/>
          <w:lang w:val="es-MX" w:eastAsia="es-ES"/>
        </w:rPr>
        <w:t xml:space="preserve">se destacan: </w:t>
      </w:r>
      <w:r w:rsidR="00677617" w:rsidRPr="001068B2">
        <w:rPr>
          <w:rFonts w:ascii="Museo Sans 300" w:hAnsi="Museo Sans 300" w:cstheme="minorHAnsi"/>
          <w:iCs/>
          <w:sz w:val="22"/>
          <w:szCs w:val="22"/>
          <w:lang w:val="es-MX" w:eastAsia="es-ES"/>
        </w:rPr>
        <w:t xml:space="preserve">las transferencias </w:t>
      </w:r>
      <w:r w:rsidR="006939C3" w:rsidRPr="001068B2">
        <w:rPr>
          <w:rFonts w:ascii="Museo Sans 300" w:hAnsi="Museo Sans 300" w:cstheme="minorHAnsi"/>
          <w:iCs/>
          <w:sz w:val="22"/>
          <w:szCs w:val="22"/>
          <w:lang w:val="es-MX" w:eastAsia="es-ES"/>
        </w:rPr>
        <w:t xml:space="preserve">que </w:t>
      </w:r>
      <w:r w:rsidR="00F5750B" w:rsidRPr="001068B2">
        <w:rPr>
          <w:rFonts w:ascii="Museo Sans 300" w:hAnsi="Museo Sans 300" w:cstheme="minorHAnsi"/>
          <w:iCs/>
          <w:sz w:val="22"/>
          <w:szCs w:val="22"/>
          <w:lang w:val="es-MX" w:eastAsia="es-ES"/>
        </w:rPr>
        <w:t xml:space="preserve">fueron </w:t>
      </w:r>
      <w:r w:rsidR="00677617" w:rsidRPr="001068B2">
        <w:rPr>
          <w:rFonts w:ascii="Museo Sans 300" w:hAnsi="Museo Sans 300" w:cstheme="minorHAnsi"/>
          <w:iCs/>
          <w:sz w:val="22"/>
          <w:szCs w:val="22"/>
          <w:lang w:val="es-MX" w:eastAsia="es-ES"/>
        </w:rPr>
        <w:t>destinadas a</w:t>
      </w:r>
      <w:r w:rsidR="00F5750B" w:rsidRPr="001068B2">
        <w:rPr>
          <w:rFonts w:ascii="Museo Sans 300" w:hAnsi="Museo Sans 300" w:cs="Arial"/>
          <w:sz w:val="22"/>
          <w:szCs w:val="22"/>
        </w:rPr>
        <w:t xml:space="preserve"> Paquetes Escolares</w:t>
      </w:r>
      <w:r w:rsidR="00714C99" w:rsidRPr="001068B2">
        <w:rPr>
          <w:rFonts w:ascii="Museo Sans 300" w:hAnsi="Museo Sans 300" w:cs="Arial"/>
          <w:sz w:val="22"/>
          <w:szCs w:val="22"/>
        </w:rPr>
        <w:t>;</w:t>
      </w:r>
      <w:r w:rsidR="00F5750B" w:rsidRPr="001068B2">
        <w:rPr>
          <w:rFonts w:ascii="Museo Sans 300" w:hAnsi="Museo Sans 300" w:cs="Arial"/>
          <w:sz w:val="22"/>
          <w:szCs w:val="22"/>
        </w:rPr>
        <w:t xml:space="preserve"> “Mi Nueva Escuela”</w:t>
      </w:r>
      <w:r w:rsidR="00714C99" w:rsidRPr="001068B2">
        <w:rPr>
          <w:rFonts w:ascii="Museo Sans 300" w:hAnsi="Museo Sans 300" w:cs="Arial"/>
          <w:sz w:val="22"/>
          <w:szCs w:val="22"/>
        </w:rPr>
        <w:t>;</w:t>
      </w:r>
      <w:r w:rsidR="00F5750B" w:rsidRPr="001068B2">
        <w:rPr>
          <w:rFonts w:ascii="Museo Sans 300" w:hAnsi="Museo Sans 300" w:cs="Arial"/>
          <w:sz w:val="22"/>
          <w:szCs w:val="22"/>
        </w:rPr>
        <w:t xml:space="preserve"> </w:t>
      </w:r>
      <w:r w:rsidR="008278C0" w:rsidRPr="001068B2">
        <w:rPr>
          <w:rFonts w:ascii="Museo Sans 300" w:hAnsi="Museo Sans 300"/>
          <w:sz w:val="22"/>
          <w:szCs w:val="22"/>
        </w:rPr>
        <w:t xml:space="preserve">Programa Crecer y aprender Juntos: Desarrollo Integral de la Primera </w:t>
      </w:r>
      <w:r w:rsidR="004465C4" w:rsidRPr="001068B2">
        <w:rPr>
          <w:rFonts w:ascii="Museo Sans 300" w:hAnsi="Museo Sans 300"/>
          <w:sz w:val="22"/>
          <w:szCs w:val="22"/>
        </w:rPr>
        <w:t>Infancia; en</w:t>
      </w:r>
      <w:r w:rsidR="00855898" w:rsidRPr="001068B2">
        <w:rPr>
          <w:rFonts w:ascii="Museo Sans 300" w:hAnsi="Museo Sans 300" w:cs="Arial"/>
          <w:sz w:val="22"/>
          <w:szCs w:val="22"/>
        </w:rPr>
        <w:t xml:space="preserve"> el Ramo de Ministerio de salud: </w:t>
      </w:r>
      <w:r w:rsidR="00855898" w:rsidRPr="001068B2">
        <w:rPr>
          <w:rFonts w:ascii="Museo Sans 300" w:hAnsi="Museo Sans 300"/>
          <w:sz w:val="22"/>
          <w:szCs w:val="22"/>
        </w:rPr>
        <w:t>Creciendo Saludables Juntos: Desarrollo Integral de la Primera Infancia en El Salvador; otras transferencias fueron destinadas a</w:t>
      </w:r>
      <w:r w:rsidR="00855898" w:rsidRPr="001068B2">
        <w:rPr>
          <w:rFonts w:ascii="Museo Sans 300" w:hAnsi="Museo Sans 300" w:cs="Arial"/>
          <w:sz w:val="22"/>
          <w:szCs w:val="22"/>
        </w:rPr>
        <w:t xml:space="preserve"> </w:t>
      </w:r>
      <w:r w:rsidR="00F5750B" w:rsidRPr="001068B2">
        <w:rPr>
          <w:rFonts w:ascii="Museo Sans 300" w:hAnsi="Museo Sans 300" w:cs="Arial"/>
          <w:sz w:val="22"/>
          <w:szCs w:val="22"/>
        </w:rPr>
        <w:t xml:space="preserve">Veteranos </w:t>
      </w:r>
      <w:r w:rsidR="00855898" w:rsidRPr="001068B2">
        <w:rPr>
          <w:rFonts w:ascii="Museo Sans 300" w:hAnsi="Museo Sans 300" w:cs="Arial"/>
          <w:sz w:val="22"/>
          <w:szCs w:val="22"/>
        </w:rPr>
        <w:t xml:space="preserve">y Excombatientes; </w:t>
      </w:r>
      <w:r w:rsidR="00154FC8" w:rsidRPr="001068B2">
        <w:rPr>
          <w:rFonts w:ascii="Museo Sans 300" w:hAnsi="Museo Sans 300" w:cs="Arial"/>
          <w:sz w:val="22"/>
          <w:szCs w:val="22"/>
        </w:rPr>
        <w:t>S</w:t>
      </w:r>
      <w:r w:rsidR="00855898" w:rsidRPr="001068B2">
        <w:rPr>
          <w:rFonts w:ascii="Museo Sans 300" w:hAnsi="Museo Sans 300" w:cs="Arial"/>
          <w:sz w:val="22"/>
          <w:szCs w:val="22"/>
        </w:rPr>
        <w:t xml:space="preserve">ubsidios, y </w:t>
      </w:r>
      <w:r w:rsidR="00154FC8" w:rsidRPr="001068B2">
        <w:rPr>
          <w:rFonts w:ascii="Museo Sans 300" w:hAnsi="Museo Sans 300" w:cs="Arial"/>
          <w:sz w:val="22"/>
          <w:szCs w:val="22"/>
        </w:rPr>
        <w:t>P</w:t>
      </w:r>
      <w:r w:rsidR="00855898" w:rsidRPr="001068B2">
        <w:rPr>
          <w:rFonts w:ascii="Museo Sans 300" w:hAnsi="Museo Sans 300" w:cs="Arial"/>
          <w:sz w:val="22"/>
          <w:szCs w:val="22"/>
        </w:rPr>
        <w:t>ensiones del IPSFA.</w:t>
      </w:r>
    </w:p>
    <w:p w14:paraId="012CEFB6" w14:textId="35FF22BA" w:rsidR="00444A8D" w:rsidRPr="0001362C" w:rsidRDefault="000E7ED7" w:rsidP="00076592">
      <w:pPr>
        <w:pStyle w:val="NormalWeb"/>
        <w:shd w:val="clear" w:color="auto" w:fill="FFFFFF"/>
        <w:spacing w:before="0" w:beforeAutospacing="0" w:after="143" w:afterAutospacing="0" w:line="276" w:lineRule="auto"/>
        <w:jc w:val="center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Gráfico 5: Composición del Gasto Corriente del SPNF </w:t>
      </w:r>
      <w:r w:rsidR="00724E84" w:rsidRPr="0001362C">
        <w:rPr>
          <w:rFonts w:ascii="Museo Sans 300" w:hAnsi="Museo Sans 300" w:cstheme="minorHAnsi"/>
          <w:i/>
          <w:sz w:val="22"/>
          <w:szCs w:val="22"/>
          <w:lang w:val="es-MX"/>
        </w:rPr>
        <w:t>a marzo</w:t>
      </w: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 20</w:t>
      </w:r>
      <w:r w:rsidR="000A13D8" w:rsidRPr="0001362C">
        <w:rPr>
          <w:rFonts w:ascii="Museo Sans 300" w:hAnsi="Museo Sans 300" w:cstheme="minorHAnsi"/>
          <w:i/>
          <w:sz w:val="22"/>
          <w:szCs w:val="22"/>
          <w:lang w:val="es-MX"/>
        </w:rPr>
        <w:t>20</w:t>
      </w: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>-202</w:t>
      </w:r>
      <w:r w:rsidR="00FF42D1" w:rsidRPr="0001362C">
        <w:rPr>
          <w:rFonts w:ascii="Museo Sans 300" w:hAnsi="Museo Sans 300" w:cstheme="minorHAnsi"/>
          <w:i/>
          <w:sz w:val="22"/>
          <w:szCs w:val="22"/>
          <w:lang w:val="es-MX"/>
        </w:rPr>
        <w:t>5</w:t>
      </w:r>
    </w:p>
    <w:p w14:paraId="33F4DAFB" w14:textId="7A8FECCA" w:rsidR="000E7ED7" w:rsidRPr="0001362C" w:rsidRDefault="001E18EE" w:rsidP="007C00E1">
      <w:pPr>
        <w:spacing w:line="480" w:lineRule="auto"/>
        <w:jc w:val="center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/>
          <w:noProof/>
          <w:sz w:val="22"/>
          <w:szCs w:val="22"/>
        </w:rPr>
        <w:drawing>
          <wp:inline distT="0" distB="0" distL="0" distR="0" wp14:anchorId="7E7BEC74" wp14:editId="732B0DB5">
            <wp:extent cx="5486400" cy="32004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3819C0F" w14:textId="77777777" w:rsidR="009A5107" w:rsidRPr="004B1D41" w:rsidRDefault="009A5107" w:rsidP="00E61B3F">
      <w:pPr>
        <w:pStyle w:val="Textoindependiente2"/>
        <w:spacing w:after="0" w:line="276" w:lineRule="auto"/>
        <w:ind w:right="-32"/>
        <w:jc w:val="both"/>
        <w:rPr>
          <w:rFonts w:ascii="Museo Sans 300" w:hAnsi="Museo Sans 300" w:cstheme="minorHAnsi"/>
          <w:iCs/>
          <w:sz w:val="18"/>
          <w:szCs w:val="18"/>
          <w:lang w:val="es-SV"/>
        </w:rPr>
      </w:pPr>
      <w:r w:rsidRPr="0001362C">
        <w:rPr>
          <w:rFonts w:ascii="Museo Sans 300" w:hAnsi="Museo Sans 300" w:cstheme="minorHAnsi"/>
          <w:iCs/>
          <w:sz w:val="22"/>
          <w:szCs w:val="22"/>
          <w:lang w:val="es-SV"/>
        </w:rPr>
        <w:t xml:space="preserve">                      </w:t>
      </w:r>
      <w:r w:rsidRPr="004B1D41">
        <w:rPr>
          <w:rFonts w:ascii="Museo Sans 300" w:hAnsi="Museo Sans 300" w:cstheme="minorHAnsi"/>
          <w:iCs/>
          <w:sz w:val="18"/>
          <w:szCs w:val="18"/>
          <w:lang w:val="es-SV"/>
        </w:rPr>
        <w:t>Fuente: Ministerio de Hacienda</w:t>
      </w:r>
    </w:p>
    <w:p w14:paraId="2E4CDEBA" w14:textId="77777777" w:rsidR="009A5107" w:rsidRPr="0001362C" w:rsidRDefault="009A5107" w:rsidP="00E61B3F">
      <w:pPr>
        <w:pStyle w:val="Textoindependiente2"/>
        <w:spacing w:after="0" w:line="276" w:lineRule="auto"/>
        <w:ind w:right="-32"/>
        <w:jc w:val="both"/>
        <w:rPr>
          <w:rFonts w:ascii="Museo Sans 300" w:hAnsi="Museo Sans 300" w:cstheme="minorHAnsi"/>
          <w:iCs/>
          <w:sz w:val="22"/>
          <w:szCs w:val="22"/>
          <w:lang w:val="es-SV"/>
        </w:rPr>
      </w:pPr>
    </w:p>
    <w:p w14:paraId="671C2D80" w14:textId="49B64BF0" w:rsidR="00D3635C" w:rsidRPr="0001362C" w:rsidRDefault="00D3635C" w:rsidP="001A6D06">
      <w:pPr>
        <w:pStyle w:val="Textoindependiente2"/>
        <w:spacing w:after="0" w:line="276" w:lineRule="auto"/>
        <w:ind w:right="-32"/>
        <w:jc w:val="center"/>
        <w:rPr>
          <w:rFonts w:ascii="Museo Sans 300" w:hAnsi="Museo Sans 300" w:cstheme="minorHAnsi"/>
          <w:b/>
          <w:iCs/>
          <w:sz w:val="22"/>
          <w:szCs w:val="22"/>
          <w:lang w:val="es-SV"/>
        </w:rPr>
      </w:pPr>
    </w:p>
    <w:p w14:paraId="1BB193DA" w14:textId="0681C839" w:rsidR="00D3635C" w:rsidRPr="0001362C" w:rsidRDefault="00D3635C" w:rsidP="001A6D06">
      <w:pPr>
        <w:pStyle w:val="Textoindependiente2"/>
        <w:spacing w:after="0" w:line="276" w:lineRule="auto"/>
        <w:ind w:right="-32"/>
        <w:jc w:val="center"/>
        <w:rPr>
          <w:rFonts w:ascii="Museo Sans 300" w:hAnsi="Museo Sans 300" w:cstheme="minorHAnsi"/>
          <w:b/>
          <w:iCs/>
          <w:sz w:val="22"/>
          <w:szCs w:val="22"/>
          <w:lang w:val="es-SV"/>
        </w:rPr>
      </w:pPr>
    </w:p>
    <w:p w14:paraId="143DDECA" w14:textId="77777777" w:rsidR="000E7ED7" w:rsidRPr="0001362C" w:rsidRDefault="000E7ED7" w:rsidP="007C00E1">
      <w:pPr>
        <w:pStyle w:val="Ttulo3"/>
        <w:spacing w:line="480" w:lineRule="auto"/>
        <w:rPr>
          <w:rFonts w:ascii="Museo Sans 300" w:hAnsi="Museo Sans 300" w:cstheme="minorHAnsi"/>
          <w:i/>
          <w:szCs w:val="22"/>
          <w:lang w:val="es-MX"/>
        </w:rPr>
      </w:pPr>
      <w:bookmarkStart w:id="41" w:name="_Toc205889707"/>
      <w:r w:rsidRPr="0001362C">
        <w:rPr>
          <w:rFonts w:ascii="Museo Sans 300" w:hAnsi="Museo Sans 300" w:cstheme="minorHAnsi"/>
          <w:i/>
          <w:szCs w:val="22"/>
          <w:lang w:val="es-MX"/>
        </w:rPr>
        <w:t>2.2 Gasto de Capital</w:t>
      </w:r>
      <w:bookmarkEnd w:id="41"/>
    </w:p>
    <w:p w14:paraId="2498B81D" w14:textId="77777777" w:rsidR="000E7ED7" w:rsidRPr="0001362C" w:rsidRDefault="000E7ED7" w:rsidP="00E61B3F">
      <w:pPr>
        <w:pStyle w:val="Textoindependiente2"/>
        <w:spacing w:after="0" w:line="276" w:lineRule="auto"/>
        <w:ind w:right="-32"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  <w:bookmarkStart w:id="42" w:name="_Hlk128489614"/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Los gastos de capital del SPNF al mes de </w:t>
      </w:r>
      <w:r w:rsidR="00E22524"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marzo 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>de 202</w:t>
      </w:r>
      <w:r w:rsidR="00E22524" w:rsidRPr="0001362C">
        <w:rPr>
          <w:rFonts w:ascii="Museo Sans 300" w:hAnsi="Museo Sans 300" w:cstheme="minorHAnsi"/>
          <w:iCs/>
          <w:sz w:val="22"/>
          <w:szCs w:val="22"/>
          <w:lang w:val="es-419"/>
        </w:rPr>
        <w:t>5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 alcanzaron un monto de $</w:t>
      </w:r>
      <w:r w:rsidR="00FD0D55" w:rsidRPr="0001362C">
        <w:rPr>
          <w:rFonts w:ascii="Museo Sans 300" w:hAnsi="Museo Sans 300" w:cstheme="minorHAnsi"/>
          <w:iCs/>
          <w:sz w:val="22"/>
          <w:szCs w:val="22"/>
          <w:lang w:val="es-419"/>
        </w:rPr>
        <w:t>372.2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 millones, experimentando un</w:t>
      </w:r>
      <w:r w:rsidR="00FD0D55"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 aumento 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de </w:t>
      </w:r>
      <w:r w:rsidR="00FD0D55" w:rsidRPr="0001362C">
        <w:rPr>
          <w:rFonts w:ascii="Museo Sans 300" w:hAnsi="Museo Sans 300" w:cstheme="minorHAnsi"/>
          <w:iCs/>
          <w:sz w:val="22"/>
          <w:szCs w:val="22"/>
          <w:lang w:val="es-419"/>
        </w:rPr>
        <w:t>82.0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% con respecto </w:t>
      </w:r>
      <w:r w:rsidR="00724E84"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a </w:t>
      </w:r>
      <w:r w:rsidR="00E22524" w:rsidRPr="0001362C">
        <w:rPr>
          <w:rFonts w:ascii="Museo Sans 300" w:hAnsi="Museo Sans 300" w:cstheme="minorHAnsi"/>
          <w:iCs/>
          <w:sz w:val="22"/>
          <w:szCs w:val="22"/>
          <w:lang w:val="es-419"/>
        </w:rPr>
        <w:t>marzo 2024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, producto </w:t>
      </w:r>
      <w:r w:rsidR="00FD0D55"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principalmente 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>de</w:t>
      </w:r>
      <w:r w:rsidR="00FD0D55" w:rsidRPr="0001362C">
        <w:rPr>
          <w:rFonts w:ascii="Museo Sans 300" w:hAnsi="Museo Sans 300" w:cstheme="minorHAnsi"/>
          <w:iCs/>
          <w:sz w:val="22"/>
          <w:szCs w:val="22"/>
          <w:lang w:val="es-419"/>
        </w:rPr>
        <w:t>l incremento</w:t>
      </w:r>
      <w:r w:rsidR="00283F9C"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 en la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 inversión pública. </w:t>
      </w:r>
    </w:p>
    <w:p w14:paraId="11DBE404" w14:textId="77777777" w:rsidR="000E7ED7" w:rsidRPr="0001362C" w:rsidRDefault="000E7ED7" w:rsidP="00E61B3F">
      <w:pPr>
        <w:pStyle w:val="Textoindependiente2"/>
        <w:spacing w:after="0" w:line="276" w:lineRule="auto"/>
        <w:ind w:right="-32"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</w:p>
    <w:p w14:paraId="525A2C2B" w14:textId="60418590" w:rsidR="004B1D41" w:rsidRPr="009E150A" w:rsidRDefault="000E7ED7" w:rsidP="009E150A">
      <w:pPr>
        <w:pStyle w:val="Textoindependiente2"/>
        <w:spacing w:after="0" w:line="276" w:lineRule="auto"/>
        <w:ind w:right="-32"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>La Inversión Pública del SPNF alcanzó un valor de $</w:t>
      </w:r>
      <w:r w:rsidR="00FD0D55" w:rsidRPr="0001362C">
        <w:rPr>
          <w:rFonts w:ascii="Museo Sans 300" w:hAnsi="Museo Sans 300" w:cstheme="minorHAnsi"/>
          <w:iCs/>
          <w:sz w:val="22"/>
          <w:szCs w:val="22"/>
          <w:lang w:val="es-419"/>
        </w:rPr>
        <w:t>328.8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 millones, con un</w:t>
      </w:r>
      <w:r w:rsidR="00FD0D55"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 aumento</w:t>
      </w:r>
      <w:r w:rsidR="00AF59E7"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 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>anual de $</w:t>
      </w:r>
      <w:r w:rsidR="00AF59E7" w:rsidRPr="0001362C">
        <w:rPr>
          <w:rFonts w:ascii="Museo Sans 300" w:hAnsi="Museo Sans 300" w:cstheme="minorHAnsi"/>
          <w:iCs/>
          <w:sz w:val="22"/>
          <w:szCs w:val="22"/>
          <w:lang w:val="es-419"/>
        </w:rPr>
        <w:t>142</w:t>
      </w:r>
      <w:r w:rsidR="009442CF" w:rsidRPr="0001362C">
        <w:rPr>
          <w:rFonts w:ascii="Museo Sans 300" w:hAnsi="Museo Sans 300" w:cstheme="minorHAnsi"/>
          <w:iCs/>
          <w:sz w:val="22"/>
          <w:szCs w:val="22"/>
          <w:lang w:val="es-419"/>
        </w:rPr>
        <w:t>.0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 millones; representando un </w:t>
      </w:r>
      <w:r w:rsidR="00AF59E7" w:rsidRPr="0001362C">
        <w:rPr>
          <w:rFonts w:ascii="Museo Sans 300" w:hAnsi="Museo Sans 300" w:cstheme="minorHAnsi"/>
          <w:iCs/>
          <w:sz w:val="22"/>
          <w:szCs w:val="22"/>
          <w:lang w:val="es-419"/>
        </w:rPr>
        <w:t>0.9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>% del PIB</w:t>
      </w:r>
      <w:bookmarkEnd w:id="42"/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>.</w:t>
      </w:r>
      <w:r w:rsidR="00E935B7" w:rsidRPr="009E150A">
        <w:rPr>
          <w:rFonts w:ascii="Museo Sans 300" w:hAnsi="Museo Sans 300" w:cstheme="minorHAnsi"/>
          <w:iCs/>
          <w:sz w:val="22"/>
          <w:szCs w:val="22"/>
          <w:lang w:val="es-419"/>
        </w:rPr>
        <w:t xml:space="preserve"> Dicho incremento se explica por la ejecución de infraestructura vial, educativa </w:t>
      </w:r>
      <w:r w:rsidR="009E150A">
        <w:rPr>
          <w:rFonts w:ascii="Museo Sans 300" w:hAnsi="Museo Sans 300" w:cstheme="minorHAnsi"/>
          <w:iCs/>
          <w:sz w:val="22"/>
          <w:szCs w:val="22"/>
          <w:lang w:val="es-419"/>
        </w:rPr>
        <w:t xml:space="preserve">e infraestructura diversa </w:t>
      </w:r>
      <w:r w:rsidR="00E935B7" w:rsidRPr="009E150A">
        <w:rPr>
          <w:rFonts w:ascii="Museo Sans 300" w:hAnsi="Museo Sans 300" w:cstheme="minorHAnsi"/>
          <w:iCs/>
          <w:sz w:val="22"/>
          <w:szCs w:val="22"/>
          <w:lang w:val="es-419"/>
        </w:rPr>
        <w:t>que está realizando la DOM</w:t>
      </w:r>
      <w:r w:rsidR="009E150A">
        <w:rPr>
          <w:rFonts w:ascii="Museo Sans 300" w:hAnsi="Museo Sans 300" w:cstheme="minorHAnsi"/>
          <w:iCs/>
          <w:sz w:val="22"/>
          <w:szCs w:val="22"/>
          <w:lang w:val="es-419"/>
        </w:rPr>
        <w:t xml:space="preserve">, </w:t>
      </w:r>
      <w:r w:rsidR="00E935B7" w:rsidRPr="009E150A">
        <w:rPr>
          <w:rFonts w:ascii="Museo Sans 300" w:hAnsi="Museo Sans 300" w:cstheme="minorHAnsi"/>
          <w:iCs/>
          <w:sz w:val="22"/>
          <w:szCs w:val="22"/>
          <w:lang w:val="es-419"/>
        </w:rPr>
        <w:t xml:space="preserve">CEPA </w:t>
      </w:r>
      <w:r w:rsidR="00364276" w:rsidRPr="009E150A">
        <w:rPr>
          <w:rFonts w:ascii="Museo Sans 300" w:hAnsi="Museo Sans 300" w:cstheme="minorHAnsi"/>
          <w:iCs/>
          <w:sz w:val="22"/>
          <w:szCs w:val="22"/>
          <w:lang w:val="es-419"/>
        </w:rPr>
        <w:t xml:space="preserve">principalmente </w:t>
      </w:r>
      <w:r w:rsidR="00E935B7" w:rsidRPr="009E150A">
        <w:rPr>
          <w:rFonts w:ascii="Museo Sans 300" w:hAnsi="Museo Sans 300" w:cstheme="minorHAnsi"/>
          <w:iCs/>
          <w:sz w:val="22"/>
          <w:szCs w:val="22"/>
          <w:lang w:val="es-419"/>
        </w:rPr>
        <w:t>en la ampliación del área de registro de pasajeros del Aeropuerto</w:t>
      </w:r>
      <w:r w:rsidR="009E150A">
        <w:rPr>
          <w:rFonts w:ascii="Museo Sans 300" w:hAnsi="Museo Sans 300" w:cstheme="minorHAnsi"/>
          <w:iCs/>
          <w:sz w:val="22"/>
          <w:szCs w:val="22"/>
          <w:lang w:val="es-419"/>
        </w:rPr>
        <w:t xml:space="preserve"> y</w:t>
      </w:r>
      <w:r w:rsidR="00E935B7" w:rsidRPr="009E150A">
        <w:rPr>
          <w:rFonts w:ascii="Museo Sans 300" w:hAnsi="Museo Sans 300" w:cstheme="minorHAnsi"/>
          <w:iCs/>
          <w:sz w:val="22"/>
          <w:szCs w:val="22"/>
          <w:lang w:val="es-419"/>
        </w:rPr>
        <w:t xml:space="preserve"> MOP </w:t>
      </w:r>
      <w:r w:rsidR="009E150A">
        <w:rPr>
          <w:rFonts w:ascii="Museo Sans 300" w:hAnsi="Museo Sans 300" w:cstheme="minorHAnsi"/>
          <w:iCs/>
          <w:sz w:val="22"/>
          <w:szCs w:val="22"/>
          <w:lang w:val="es-419"/>
        </w:rPr>
        <w:t>en la</w:t>
      </w:r>
      <w:r w:rsidR="00C54743" w:rsidRPr="009E150A">
        <w:rPr>
          <w:rFonts w:ascii="Museo Sans 300" w:hAnsi="Museo Sans 300" w:cstheme="minorHAnsi"/>
          <w:iCs/>
          <w:sz w:val="22"/>
          <w:szCs w:val="22"/>
          <w:lang w:val="es-419"/>
        </w:rPr>
        <w:t xml:space="preserve"> </w:t>
      </w:r>
      <w:r w:rsidR="00E935B7" w:rsidRPr="009E150A">
        <w:rPr>
          <w:rFonts w:ascii="Museo Sans 300" w:hAnsi="Museo Sans 300" w:cstheme="minorHAnsi"/>
          <w:iCs/>
          <w:sz w:val="22"/>
          <w:szCs w:val="22"/>
          <w:lang w:val="es-419"/>
        </w:rPr>
        <w:t>Rehabilitación de Centros Educativos a nivel nacional y Construcción de Viaducto y Ampliación de Carretera CA01W (Tramo Los Chorros), entre otros.</w:t>
      </w:r>
    </w:p>
    <w:p w14:paraId="5C6EB857" w14:textId="77777777" w:rsidR="004B1D41" w:rsidRDefault="004B1D41" w:rsidP="00055C62">
      <w:pPr>
        <w:spacing w:after="240"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0C1407AA" w14:textId="685D400A" w:rsidR="000E7ED7" w:rsidRPr="0001362C" w:rsidRDefault="00AF4809" w:rsidP="00055C62">
      <w:pPr>
        <w:spacing w:after="240"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Gráfico 6: Inversión Pública </w:t>
      </w:r>
      <w:r w:rsidR="00724E84" w:rsidRPr="0001362C">
        <w:rPr>
          <w:rFonts w:ascii="Museo Sans 300" w:hAnsi="Museo Sans 300" w:cstheme="minorHAnsi"/>
          <w:i/>
          <w:sz w:val="22"/>
          <w:szCs w:val="22"/>
          <w:lang w:val="es-MX"/>
        </w:rPr>
        <w:t>a marzo</w:t>
      </w: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 20</w:t>
      </w:r>
      <w:r w:rsidR="000A13D8" w:rsidRPr="0001362C">
        <w:rPr>
          <w:rFonts w:ascii="Museo Sans 300" w:hAnsi="Museo Sans 300" w:cstheme="minorHAnsi"/>
          <w:i/>
          <w:sz w:val="22"/>
          <w:szCs w:val="22"/>
          <w:lang w:val="es-MX"/>
        </w:rPr>
        <w:t>20</w:t>
      </w: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 -202</w:t>
      </w:r>
      <w:r w:rsidR="00FF42D1" w:rsidRPr="0001362C">
        <w:rPr>
          <w:rFonts w:ascii="Museo Sans 300" w:hAnsi="Museo Sans 300" w:cstheme="minorHAnsi"/>
          <w:i/>
          <w:sz w:val="22"/>
          <w:szCs w:val="22"/>
          <w:lang w:val="es-MX"/>
        </w:rPr>
        <w:t>5</w:t>
      </w:r>
    </w:p>
    <w:p w14:paraId="7776AA25" w14:textId="6A73D6B2" w:rsidR="00AF4809" w:rsidRPr="0001362C" w:rsidRDefault="001E18EE" w:rsidP="00E61B3F">
      <w:pPr>
        <w:pStyle w:val="Textoindependiente2"/>
        <w:spacing w:after="0" w:line="276" w:lineRule="auto"/>
        <w:ind w:right="-32"/>
        <w:jc w:val="center"/>
        <w:rPr>
          <w:rFonts w:ascii="Museo Sans 300" w:hAnsi="Museo Sans 300" w:cstheme="minorHAnsi"/>
          <w:iCs/>
          <w:sz w:val="22"/>
          <w:szCs w:val="22"/>
          <w:lang w:val="es-419"/>
        </w:rPr>
      </w:pPr>
      <w:r w:rsidRPr="0001362C">
        <w:rPr>
          <w:rFonts w:ascii="Museo Sans 300" w:hAnsi="Museo Sans 300"/>
          <w:noProof/>
          <w:sz w:val="22"/>
          <w:szCs w:val="22"/>
        </w:rPr>
        <w:drawing>
          <wp:inline distT="0" distB="0" distL="0" distR="0" wp14:anchorId="79004AA5" wp14:editId="3DBA1ABC">
            <wp:extent cx="5248275" cy="3228975"/>
            <wp:effectExtent l="0" t="0" r="9525" b="952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831CD36" w14:textId="77777777" w:rsidR="00806290" w:rsidRPr="004B1D41" w:rsidRDefault="00806290" w:rsidP="00806290">
      <w:pPr>
        <w:pStyle w:val="Textoindependiente2"/>
        <w:spacing w:after="0" w:line="276" w:lineRule="auto"/>
        <w:ind w:right="-32"/>
        <w:jc w:val="both"/>
        <w:rPr>
          <w:rFonts w:ascii="Museo Sans 300" w:hAnsi="Museo Sans 300" w:cstheme="minorHAnsi"/>
          <w:iCs/>
          <w:sz w:val="18"/>
          <w:szCs w:val="18"/>
          <w:lang w:val="es-SV"/>
        </w:rPr>
      </w:pPr>
      <w:r w:rsidRPr="0001362C">
        <w:rPr>
          <w:rFonts w:ascii="Museo Sans 300" w:hAnsi="Museo Sans 300" w:cstheme="minorHAnsi"/>
          <w:iCs/>
          <w:sz w:val="22"/>
          <w:szCs w:val="22"/>
          <w:lang w:val="es-SV"/>
        </w:rPr>
        <w:t xml:space="preserve">                      </w:t>
      </w:r>
      <w:r w:rsidRPr="004B1D41">
        <w:rPr>
          <w:rFonts w:ascii="Museo Sans 300" w:hAnsi="Museo Sans 300" w:cstheme="minorHAnsi"/>
          <w:iCs/>
          <w:sz w:val="18"/>
          <w:szCs w:val="18"/>
          <w:lang w:val="es-SV"/>
        </w:rPr>
        <w:t>Fuente: Ministerio de Hacienda</w:t>
      </w:r>
    </w:p>
    <w:p w14:paraId="499A4E95" w14:textId="77777777" w:rsidR="00806290" w:rsidRPr="0001362C" w:rsidRDefault="00806290" w:rsidP="00806290">
      <w:pPr>
        <w:pStyle w:val="Textoindependiente2"/>
        <w:spacing w:after="0" w:line="276" w:lineRule="auto"/>
        <w:ind w:right="-32"/>
        <w:jc w:val="both"/>
        <w:rPr>
          <w:rFonts w:ascii="Museo Sans 300" w:hAnsi="Museo Sans 300" w:cstheme="minorHAnsi"/>
          <w:iCs/>
          <w:sz w:val="22"/>
          <w:szCs w:val="22"/>
          <w:lang w:val="es-SV"/>
        </w:rPr>
      </w:pPr>
    </w:p>
    <w:p w14:paraId="1E6A3FC9" w14:textId="77777777" w:rsidR="001A6D06" w:rsidRPr="0001362C" w:rsidRDefault="001A6D06" w:rsidP="00E61B3F">
      <w:pPr>
        <w:pStyle w:val="Textoindependiente2"/>
        <w:spacing w:after="0" w:line="276" w:lineRule="auto"/>
        <w:ind w:right="-32"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</w:p>
    <w:p w14:paraId="6D1DBCB0" w14:textId="77777777" w:rsidR="000E7ED7" w:rsidRPr="0001362C" w:rsidRDefault="000E7ED7" w:rsidP="00E61B3F">
      <w:pPr>
        <w:pStyle w:val="Textoindependiente2"/>
        <w:spacing w:after="0" w:line="276" w:lineRule="auto"/>
        <w:ind w:right="-32"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>A nivel de subsectores, el Gobierno Central Consolidado ejecutó el mayor porcentaje siendo un 8</w:t>
      </w:r>
      <w:r w:rsidR="00AF59E7" w:rsidRPr="0001362C">
        <w:rPr>
          <w:rFonts w:ascii="Museo Sans 300" w:hAnsi="Museo Sans 300" w:cstheme="minorHAnsi"/>
          <w:iCs/>
          <w:sz w:val="22"/>
          <w:szCs w:val="22"/>
          <w:lang w:val="es-419"/>
        </w:rPr>
        <w:t>3.0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>% ($</w:t>
      </w:r>
      <w:r w:rsidR="00AF59E7" w:rsidRPr="0001362C">
        <w:rPr>
          <w:rFonts w:ascii="Museo Sans 300" w:hAnsi="Museo Sans 300" w:cstheme="minorHAnsi"/>
          <w:iCs/>
          <w:sz w:val="22"/>
          <w:szCs w:val="22"/>
          <w:lang w:val="es-419"/>
        </w:rPr>
        <w:t>272.9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 millones) del total; Resto del Gobierno General, </w:t>
      </w:r>
      <w:r w:rsidR="00AF59E7" w:rsidRPr="0001362C">
        <w:rPr>
          <w:rFonts w:ascii="Museo Sans 300" w:hAnsi="Museo Sans 300" w:cstheme="minorHAnsi"/>
          <w:iCs/>
          <w:sz w:val="22"/>
          <w:szCs w:val="22"/>
          <w:lang w:val="es-419"/>
        </w:rPr>
        <w:t>2.0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>% ($</w:t>
      </w:r>
      <w:r w:rsidR="00AF59E7" w:rsidRPr="0001362C">
        <w:rPr>
          <w:rFonts w:ascii="Museo Sans 300" w:hAnsi="Museo Sans 300" w:cstheme="minorHAnsi"/>
          <w:iCs/>
          <w:sz w:val="22"/>
          <w:szCs w:val="22"/>
          <w:lang w:val="es-419"/>
        </w:rPr>
        <w:t>6.4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 millones) y las Empresas Públicas ejecutaron un </w:t>
      </w:r>
      <w:r w:rsidR="00AF59E7" w:rsidRPr="0001362C">
        <w:rPr>
          <w:rFonts w:ascii="Museo Sans 300" w:hAnsi="Museo Sans 300" w:cstheme="minorHAnsi"/>
          <w:iCs/>
          <w:sz w:val="22"/>
          <w:szCs w:val="22"/>
          <w:lang w:val="es-419"/>
        </w:rPr>
        <w:t>15.0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>% ($</w:t>
      </w:r>
      <w:r w:rsidR="00AF59E7" w:rsidRPr="0001362C">
        <w:rPr>
          <w:rFonts w:ascii="Museo Sans 300" w:hAnsi="Museo Sans 300" w:cstheme="minorHAnsi"/>
          <w:iCs/>
          <w:sz w:val="22"/>
          <w:szCs w:val="22"/>
          <w:lang w:val="es-419"/>
        </w:rPr>
        <w:t>49.4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 millones) del total, 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lastRenderedPageBreak/>
        <w:t xml:space="preserve">destacando la ejecución de las instituciones de DOM, </w:t>
      </w:r>
      <w:r w:rsidR="00C03BA0"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FOVIAL, 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>MINEDUCYT, MINSAL</w:t>
      </w:r>
      <w:r w:rsidR="00AF59E7" w:rsidRPr="0001362C">
        <w:rPr>
          <w:rFonts w:ascii="Museo Sans 300" w:hAnsi="Museo Sans 300" w:cstheme="minorHAnsi"/>
          <w:iCs/>
          <w:sz w:val="22"/>
          <w:szCs w:val="22"/>
          <w:lang w:val="es-419"/>
        </w:rPr>
        <w:t>,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 MOP</w:t>
      </w:r>
      <w:r w:rsidR="00AF59E7"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 y CEPA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>.</w:t>
      </w:r>
    </w:p>
    <w:p w14:paraId="28DC8E65" w14:textId="77777777" w:rsidR="000E7ED7" w:rsidRPr="0001362C" w:rsidRDefault="000E7ED7" w:rsidP="00E61B3F">
      <w:pPr>
        <w:pStyle w:val="Textoindependiente2"/>
        <w:spacing w:after="0" w:line="276" w:lineRule="auto"/>
        <w:ind w:right="-32"/>
        <w:jc w:val="both"/>
        <w:rPr>
          <w:rFonts w:ascii="Museo Sans 300" w:hAnsi="Museo Sans 300" w:cstheme="minorHAnsi"/>
          <w:iCs/>
          <w:sz w:val="22"/>
          <w:szCs w:val="22"/>
          <w:lang w:val="es-MX"/>
        </w:rPr>
      </w:pPr>
    </w:p>
    <w:p w14:paraId="644027BE" w14:textId="77777777" w:rsidR="00902C2A" w:rsidRPr="0001362C" w:rsidRDefault="00902C2A" w:rsidP="00E61B3F">
      <w:pPr>
        <w:pStyle w:val="Textoindependiente2"/>
        <w:spacing w:after="0" w:line="276" w:lineRule="auto"/>
        <w:ind w:right="-32"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</w:p>
    <w:p w14:paraId="75DDD249" w14:textId="13EE912B" w:rsidR="009225FE" w:rsidRPr="0001362C" w:rsidRDefault="000E7ED7" w:rsidP="00E61B3F">
      <w:pPr>
        <w:pStyle w:val="Textoindependiente2"/>
        <w:spacing w:after="0" w:line="276" w:lineRule="auto"/>
        <w:ind w:right="-32"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Entre los programas y proyectos con mayores avances </w:t>
      </w:r>
      <w:r w:rsidR="00724E84" w:rsidRPr="0001362C">
        <w:rPr>
          <w:rFonts w:ascii="Museo Sans 300" w:hAnsi="Museo Sans 300" w:cstheme="minorHAnsi"/>
          <w:iCs/>
          <w:sz w:val="22"/>
          <w:szCs w:val="22"/>
          <w:lang w:val="es-419"/>
        </w:rPr>
        <w:t>al mes de marzo 2025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 se destacan los siguientes:</w:t>
      </w:r>
    </w:p>
    <w:p w14:paraId="6C9CA985" w14:textId="08988818" w:rsidR="00D508CB" w:rsidRPr="0001362C" w:rsidRDefault="00AF59E7" w:rsidP="00D508CB">
      <w:pPr>
        <w:spacing w:before="240" w:after="240" w:line="276" w:lineRule="auto"/>
        <w:contextualSpacing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  <w:r w:rsidRPr="0001362C">
        <w:rPr>
          <w:rFonts w:ascii="Museo Sans 300" w:hAnsi="Museo Sans 300" w:cstheme="minorHAnsi"/>
          <w:b/>
          <w:iCs/>
          <w:sz w:val="22"/>
          <w:szCs w:val="22"/>
          <w:lang w:val="es-419"/>
        </w:rPr>
        <w:t>MINEDUCYT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>:</w:t>
      </w:r>
    </w:p>
    <w:p w14:paraId="5E38F418" w14:textId="77777777" w:rsidR="00D508CB" w:rsidRPr="0001362C" w:rsidRDefault="00AF59E7" w:rsidP="00D508CB">
      <w:pPr>
        <w:pStyle w:val="Prrafodelista"/>
        <w:numPr>
          <w:ilvl w:val="0"/>
          <w:numId w:val="3"/>
        </w:numPr>
        <w:spacing w:before="240" w:after="240" w:line="276" w:lineRule="auto"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Programa de Reducción de Brecha Digital en Centros Escolares de El Salvador; </w:t>
      </w:r>
    </w:p>
    <w:p w14:paraId="7869A980" w14:textId="77777777" w:rsidR="00D508CB" w:rsidRPr="0001362C" w:rsidRDefault="00AF59E7" w:rsidP="00D508CB">
      <w:pPr>
        <w:pStyle w:val="Prrafodelista"/>
        <w:numPr>
          <w:ilvl w:val="0"/>
          <w:numId w:val="3"/>
        </w:numPr>
        <w:spacing w:before="240" w:after="240" w:line="276" w:lineRule="auto"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Programa "Mi Nueva Escuela" de El Salvador, </w:t>
      </w:r>
    </w:p>
    <w:p w14:paraId="09E3B806" w14:textId="2798AF92" w:rsidR="00AF59E7" w:rsidRPr="0001362C" w:rsidRDefault="00AF59E7" w:rsidP="00D508CB">
      <w:pPr>
        <w:pStyle w:val="Prrafodelista"/>
        <w:numPr>
          <w:ilvl w:val="0"/>
          <w:numId w:val="3"/>
        </w:numPr>
        <w:spacing w:before="240" w:after="240" w:line="276" w:lineRule="auto"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>Programa Crecer y Aprender Juntos: Desarrollo Integral de la Primera Infancia en El Salvador.</w:t>
      </w:r>
    </w:p>
    <w:p w14:paraId="51A58D1C" w14:textId="77777777" w:rsidR="00D508CB" w:rsidRPr="0001362C" w:rsidRDefault="00D508CB" w:rsidP="00D508CB">
      <w:pPr>
        <w:spacing w:before="240" w:after="240" w:line="276" w:lineRule="auto"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  <w:r w:rsidRPr="0001362C">
        <w:rPr>
          <w:rFonts w:ascii="Museo Sans 300" w:hAnsi="Museo Sans 300" w:cstheme="minorHAnsi"/>
          <w:b/>
          <w:iCs/>
          <w:sz w:val="22"/>
          <w:szCs w:val="22"/>
          <w:lang w:val="es-419"/>
        </w:rPr>
        <w:t>MINSAL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: </w:t>
      </w:r>
    </w:p>
    <w:p w14:paraId="48F64867" w14:textId="77777777" w:rsidR="00902C2A" w:rsidRPr="0001362C" w:rsidRDefault="00D508CB" w:rsidP="00D508CB">
      <w:pPr>
        <w:pStyle w:val="Prrafodelista"/>
        <w:numPr>
          <w:ilvl w:val="0"/>
          <w:numId w:val="6"/>
        </w:numPr>
        <w:spacing w:before="240" w:after="240" w:line="276" w:lineRule="auto"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Programa Integrado de Salud II, </w:t>
      </w:r>
    </w:p>
    <w:p w14:paraId="27942ED2" w14:textId="79EF7C93" w:rsidR="00D508CB" w:rsidRPr="0001362C" w:rsidRDefault="00D508CB" w:rsidP="00C21EAF">
      <w:pPr>
        <w:pStyle w:val="Prrafodelista"/>
        <w:numPr>
          <w:ilvl w:val="0"/>
          <w:numId w:val="6"/>
        </w:numPr>
        <w:spacing w:before="240" w:after="240" w:line="276" w:lineRule="auto"/>
        <w:ind w:left="765"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>Programa Creciendo Saludables Juntos: Desarrollo</w:t>
      </w:r>
      <w:r w:rsidR="00902C2A"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 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>Integral de la Primera Infancia en El Salvador</w:t>
      </w:r>
    </w:p>
    <w:p w14:paraId="47498557" w14:textId="77777777" w:rsidR="00D508CB" w:rsidRPr="0001362C" w:rsidRDefault="00D508CB" w:rsidP="00D508CB">
      <w:pPr>
        <w:spacing w:before="240" w:after="240" w:line="276" w:lineRule="auto"/>
        <w:contextualSpacing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  <w:r w:rsidRPr="0001362C">
        <w:rPr>
          <w:rFonts w:ascii="Museo Sans 300" w:hAnsi="Museo Sans 300" w:cstheme="minorHAnsi"/>
          <w:b/>
          <w:iCs/>
          <w:sz w:val="22"/>
          <w:szCs w:val="22"/>
          <w:lang w:val="es-419"/>
        </w:rPr>
        <w:t>MITUR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: </w:t>
      </w:r>
    </w:p>
    <w:p w14:paraId="7BC9BD9C" w14:textId="5A5F4533" w:rsidR="00D508CB" w:rsidRPr="0074290E" w:rsidRDefault="00D508CB" w:rsidP="00D508CB">
      <w:pPr>
        <w:pStyle w:val="Prrafodelista"/>
        <w:numPr>
          <w:ilvl w:val="0"/>
          <w:numId w:val="6"/>
        </w:numPr>
        <w:spacing w:before="240" w:after="240" w:line="276" w:lineRule="auto"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>Programa de Apoyo a la Recuperación y Expansión del Sector Turismo en El Salvador.</w:t>
      </w:r>
    </w:p>
    <w:p w14:paraId="3798F1E0" w14:textId="0CC4FA79" w:rsidR="00D508CB" w:rsidRPr="0001362C" w:rsidRDefault="00AF59E7" w:rsidP="00D508CB">
      <w:pPr>
        <w:spacing w:before="240" w:after="240" w:line="276" w:lineRule="auto"/>
        <w:contextualSpacing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  <w:r w:rsidRPr="0001362C">
        <w:rPr>
          <w:rFonts w:ascii="Museo Sans 300" w:hAnsi="Museo Sans 300" w:cstheme="minorHAnsi"/>
          <w:b/>
          <w:iCs/>
          <w:sz w:val="22"/>
          <w:szCs w:val="22"/>
          <w:lang w:val="es-419"/>
        </w:rPr>
        <w:t>FOVIAL: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 </w:t>
      </w:r>
    </w:p>
    <w:p w14:paraId="3B19E06F" w14:textId="77777777" w:rsidR="00902C2A" w:rsidRPr="0001362C" w:rsidRDefault="00AF59E7" w:rsidP="00D508CB">
      <w:pPr>
        <w:pStyle w:val="Prrafodelista"/>
        <w:numPr>
          <w:ilvl w:val="0"/>
          <w:numId w:val="3"/>
        </w:numPr>
        <w:spacing w:before="240" w:after="240" w:line="276" w:lineRule="auto"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Programa de Inversiones Adicionales al Mantenimiento, </w:t>
      </w:r>
    </w:p>
    <w:p w14:paraId="2062C567" w14:textId="46D37C7A" w:rsidR="00D508CB" w:rsidRPr="0001362C" w:rsidRDefault="00AF59E7" w:rsidP="004E3292">
      <w:pPr>
        <w:pStyle w:val="Prrafodelista"/>
        <w:numPr>
          <w:ilvl w:val="0"/>
          <w:numId w:val="3"/>
        </w:numPr>
        <w:spacing w:before="240" w:after="240" w:line="276" w:lineRule="auto"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>Programa de Mantenimiento</w:t>
      </w:r>
      <w:r w:rsidR="00902C2A"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 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Rutinario de Vías Pavimentadas a Nivel Nacional 2024 - Componente de inversión, </w:t>
      </w:r>
    </w:p>
    <w:p w14:paraId="1C482489" w14:textId="1B0011AB" w:rsidR="00AF59E7" w:rsidRPr="0001362C" w:rsidRDefault="00AF59E7" w:rsidP="00D508CB">
      <w:pPr>
        <w:pStyle w:val="Prrafodelista"/>
        <w:numPr>
          <w:ilvl w:val="0"/>
          <w:numId w:val="5"/>
        </w:numPr>
        <w:spacing w:before="240" w:after="240" w:line="276" w:lineRule="auto"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>Programa de Mantenimiento Periódico 2024.</w:t>
      </w:r>
    </w:p>
    <w:p w14:paraId="74112CAE" w14:textId="77777777" w:rsidR="00D508CB" w:rsidRPr="0001362C" w:rsidRDefault="00D508CB" w:rsidP="00D508CB">
      <w:pPr>
        <w:spacing w:before="240" w:after="240" w:line="276" w:lineRule="auto"/>
        <w:contextualSpacing/>
        <w:jc w:val="both"/>
        <w:rPr>
          <w:rFonts w:ascii="Museo Sans 300" w:hAnsi="Museo Sans 300" w:cstheme="minorHAnsi"/>
          <w:b/>
          <w:iCs/>
          <w:sz w:val="22"/>
          <w:szCs w:val="22"/>
          <w:lang w:val="es-419"/>
        </w:rPr>
      </w:pPr>
      <w:r w:rsidRPr="0001362C">
        <w:rPr>
          <w:rFonts w:ascii="Museo Sans 300" w:hAnsi="Museo Sans 300" w:cstheme="minorHAnsi"/>
          <w:b/>
          <w:iCs/>
          <w:sz w:val="22"/>
          <w:szCs w:val="22"/>
          <w:lang w:val="es-419"/>
        </w:rPr>
        <w:t xml:space="preserve">DOM: </w:t>
      </w:r>
    </w:p>
    <w:p w14:paraId="590CA99B" w14:textId="77777777" w:rsidR="00D508CB" w:rsidRPr="0001362C" w:rsidRDefault="00D508CB" w:rsidP="00D508CB">
      <w:pPr>
        <w:pStyle w:val="Prrafodelista"/>
        <w:numPr>
          <w:ilvl w:val="0"/>
          <w:numId w:val="5"/>
        </w:numPr>
        <w:spacing w:before="240" w:after="240" w:line="276" w:lineRule="auto"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>Programa de Obras Municipales para Infraestructura Vial a nivel nacional, año 2025,</w:t>
      </w:r>
    </w:p>
    <w:p w14:paraId="2E318917" w14:textId="77777777" w:rsidR="00D508CB" w:rsidRPr="0001362C" w:rsidRDefault="00D508CB" w:rsidP="00D508CB">
      <w:pPr>
        <w:pStyle w:val="Prrafodelista"/>
        <w:numPr>
          <w:ilvl w:val="0"/>
          <w:numId w:val="5"/>
        </w:numPr>
        <w:spacing w:before="240" w:after="240" w:line="276" w:lineRule="auto"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 Programa de Obras Municipales para infraestructuras diversas a nivel nacional, año 2025,</w:t>
      </w:r>
    </w:p>
    <w:p w14:paraId="5BD360B3" w14:textId="55D38210" w:rsidR="00D508CB" w:rsidRPr="0001362C" w:rsidRDefault="00D508CB" w:rsidP="00D508CB">
      <w:pPr>
        <w:pStyle w:val="Prrafodelista"/>
        <w:numPr>
          <w:ilvl w:val="0"/>
          <w:numId w:val="5"/>
        </w:numPr>
        <w:spacing w:before="240" w:after="240" w:line="276" w:lineRule="auto"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 Programa de Obras Municipales para Infraestructura y Equipamiento de Centros Educativos a nivel nacional, año 2025.</w:t>
      </w:r>
    </w:p>
    <w:p w14:paraId="62B42EAF" w14:textId="35859F7D" w:rsidR="00D508CB" w:rsidRPr="0001362C" w:rsidRDefault="00AF59E7" w:rsidP="00D508CB">
      <w:pPr>
        <w:spacing w:before="240" w:after="240" w:line="276" w:lineRule="auto"/>
        <w:contextualSpacing/>
        <w:jc w:val="both"/>
        <w:rPr>
          <w:rFonts w:ascii="Museo Sans 300" w:hAnsi="Museo Sans 300" w:cstheme="minorHAnsi"/>
          <w:b/>
          <w:iCs/>
          <w:sz w:val="22"/>
          <w:szCs w:val="22"/>
          <w:lang w:val="es-419"/>
        </w:rPr>
      </w:pPr>
      <w:r w:rsidRPr="0001362C">
        <w:rPr>
          <w:rFonts w:ascii="Museo Sans 300" w:hAnsi="Museo Sans 300" w:cstheme="minorHAnsi"/>
          <w:b/>
          <w:iCs/>
          <w:sz w:val="22"/>
          <w:szCs w:val="22"/>
          <w:lang w:val="es-419"/>
        </w:rPr>
        <w:t>MOP:</w:t>
      </w:r>
    </w:p>
    <w:p w14:paraId="70395545" w14:textId="3DD8BC2C" w:rsidR="00D508CB" w:rsidRPr="0001362C" w:rsidRDefault="00AF59E7" w:rsidP="00D508CB">
      <w:pPr>
        <w:pStyle w:val="Prrafodelista"/>
        <w:numPr>
          <w:ilvl w:val="0"/>
          <w:numId w:val="4"/>
        </w:numPr>
        <w:spacing w:before="240" w:after="240" w:line="276" w:lineRule="auto"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lastRenderedPageBreak/>
        <w:t xml:space="preserve">Construcción de Viaducto y Ampliación de Carretera CA01W (Tramo Los Chorros), entre Autopista Monseñor Romero y CA01W; </w:t>
      </w:r>
      <w:r w:rsidR="00902C2A" w:rsidRPr="0001362C">
        <w:rPr>
          <w:rFonts w:ascii="Museo Sans 300" w:hAnsi="Museo Sans 300" w:cstheme="minorHAnsi"/>
          <w:iCs/>
          <w:sz w:val="22"/>
          <w:szCs w:val="22"/>
          <w:lang w:val="es-419"/>
        </w:rPr>
        <w:t>M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unicipios de Santa Tecla, Colón y San Juan Opico, </w:t>
      </w:r>
      <w:r w:rsidR="00902C2A" w:rsidRPr="0001362C">
        <w:rPr>
          <w:rFonts w:ascii="Museo Sans 300" w:hAnsi="Museo Sans 300" w:cstheme="minorHAnsi"/>
          <w:iCs/>
          <w:sz w:val="22"/>
          <w:szCs w:val="22"/>
          <w:lang w:val="es-419"/>
        </w:rPr>
        <w:t>D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>epartamento de La Libertad</w:t>
      </w:r>
      <w:r w:rsidR="00AD1EB5" w:rsidRPr="0001362C">
        <w:rPr>
          <w:rFonts w:ascii="Museo Sans 300" w:hAnsi="Museo Sans 300" w:cstheme="minorHAnsi"/>
          <w:iCs/>
          <w:sz w:val="22"/>
          <w:szCs w:val="22"/>
          <w:lang w:val="es-419"/>
        </w:rPr>
        <w:t>;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 </w:t>
      </w:r>
    </w:p>
    <w:p w14:paraId="40E532FE" w14:textId="77777777" w:rsidR="00D508CB" w:rsidRPr="0001362C" w:rsidRDefault="00AF59E7" w:rsidP="00D508CB">
      <w:pPr>
        <w:pStyle w:val="Prrafodelista"/>
        <w:numPr>
          <w:ilvl w:val="0"/>
          <w:numId w:val="4"/>
        </w:numPr>
        <w:spacing w:before="240" w:after="240" w:line="276" w:lineRule="auto"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>Suministro e instalación de luminarias con tecnología LED en tramos priorizados de la red vial, a nivel nacional</w:t>
      </w:r>
      <w:r w:rsidR="00AD1EB5" w:rsidRPr="0001362C">
        <w:rPr>
          <w:rFonts w:ascii="Museo Sans 300" w:hAnsi="Museo Sans 300" w:cstheme="minorHAnsi"/>
          <w:iCs/>
          <w:sz w:val="22"/>
          <w:szCs w:val="22"/>
          <w:lang w:val="es-419"/>
        </w:rPr>
        <w:t>;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 </w:t>
      </w:r>
    </w:p>
    <w:p w14:paraId="024D182B" w14:textId="77777777" w:rsidR="00D508CB" w:rsidRPr="0001362C" w:rsidRDefault="00AF59E7" w:rsidP="00D508CB">
      <w:pPr>
        <w:pStyle w:val="Prrafodelista"/>
        <w:numPr>
          <w:ilvl w:val="0"/>
          <w:numId w:val="4"/>
        </w:numPr>
        <w:spacing w:before="240" w:after="240" w:line="276" w:lineRule="auto"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>Construcción y equipamiento del Centro de Monitoreo para la implementación del Sistema de Gestión de la Movilidad, San Salvador</w:t>
      </w:r>
      <w:r w:rsidR="00AD1EB5"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 </w:t>
      </w:r>
    </w:p>
    <w:p w14:paraId="16AE66C7" w14:textId="31D4386E" w:rsidR="00AF59E7" w:rsidRPr="0001362C" w:rsidRDefault="00D508CB" w:rsidP="00D508CB">
      <w:pPr>
        <w:pStyle w:val="Prrafodelista"/>
        <w:numPr>
          <w:ilvl w:val="0"/>
          <w:numId w:val="4"/>
        </w:numPr>
        <w:spacing w:before="240" w:after="240" w:line="276" w:lineRule="auto"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>C</w:t>
      </w:r>
      <w:r w:rsidR="00AF59E7"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onstrucción de </w:t>
      </w:r>
      <w:proofErr w:type="spellStart"/>
      <w:r w:rsidR="00AF59E7" w:rsidRPr="0001362C">
        <w:rPr>
          <w:rFonts w:ascii="Museo Sans 300" w:hAnsi="Museo Sans 300" w:cstheme="minorHAnsi"/>
          <w:iCs/>
          <w:sz w:val="22"/>
          <w:szCs w:val="22"/>
          <w:lang w:val="es-419"/>
        </w:rPr>
        <w:t>By</w:t>
      </w:r>
      <w:proofErr w:type="spellEnd"/>
      <w:r w:rsidR="00AF59E7"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 Pass en </w:t>
      </w:r>
      <w:r w:rsidR="00AD1EB5" w:rsidRPr="0001362C">
        <w:rPr>
          <w:rFonts w:ascii="Museo Sans 300" w:hAnsi="Museo Sans 300" w:cstheme="minorHAnsi"/>
          <w:iCs/>
          <w:sz w:val="22"/>
          <w:szCs w:val="22"/>
          <w:lang w:val="es-419"/>
        </w:rPr>
        <w:t>C</w:t>
      </w:r>
      <w:r w:rsidR="00AF59E7"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iudad de San Miguel. </w:t>
      </w:r>
    </w:p>
    <w:p w14:paraId="08616C02" w14:textId="77777777" w:rsidR="00902C2A" w:rsidRPr="0001362C" w:rsidRDefault="00D508CB" w:rsidP="00902C2A">
      <w:pPr>
        <w:spacing w:before="240" w:after="240" w:line="276" w:lineRule="auto"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  <w:r w:rsidRPr="0001362C">
        <w:rPr>
          <w:rFonts w:ascii="Museo Sans 300" w:hAnsi="Museo Sans 300" w:cstheme="minorHAnsi"/>
          <w:b/>
          <w:iCs/>
          <w:sz w:val="22"/>
          <w:szCs w:val="22"/>
          <w:lang w:val="es-419"/>
        </w:rPr>
        <w:t>CEL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>:</w:t>
      </w:r>
    </w:p>
    <w:p w14:paraId="01C206F0" w14:textId="77777777" w:rsidR="00902C2A" w:rsidRPr="0001362C" w:rsidRDefault="00D508CB" w:rsidP="00902C2A">
      <w:pPr>
        <w:pStyle w:val="Prrafodelista"/>
        <w:numPr>
          <w:ilvl w:val="0"/>
          <w:numId w:val="7"/>
        </w:numPr>
        <w:spacing w:before="240" w:after="240" w:line="276" w:lineRule="auto"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Instalación de una Planta de Generación Eléctrica con Biogás en el Río </w:t>
      </w:r>
      <w:proofErr w:type="spellStart"/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>Acelhuate</w:t>
      </w:r>
      <w:proofErr w:type="spellEnd"/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, </w:t>
      </w:r>
    </w:p>
    <w:p w14:paraId="44781F0D" w14:textId="55A3A371" w:rsidR="00D508CB" w:rsidRPr="0001362C" w:rsidRDefault="00D508CB" w:rsidP="00902C2A">
      <w:pPr>
        <w:pStyle w:val="Prrafodelista"/>
        <w:numPr>
          <w:ilvl w:val="0"/>
          <w:numId w:val="7"/>
        </w:numPr>
        <w:spacing w:before="240" w:after="240" w:line="276" w:lineRule="auto"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>Programa de Acceso Universal a la Energía en El Salvador.</w:t>
      </w:r>
    </w:p>
    <w:p w14:paraId="4F4C0F56" w14:textId="0B90D359" w:rsidR="00D508CB" w:rsidRPr="0001362C" w:rsidRDefault="00D508CB" w:rsidP="00902C2A">
      <w:pPr>
        <w:pStyle w:val="Prrafodelista"/>
        <w:spacing w:before="240" w:after="240" w:line="276" w:lineRule="auto"/>
        <w:ind w:left="765"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</w:p>
    <w:p w14:paraId="446E96F6" w14:textId="77777777" w:rsidR="00902C2A" w:rsidRPr="0001362C" w:rsidRDefault="00D508CB" w:rsidP="00902C2A">
      <w:pPr>
        <w:spacing w:before="240" w:after="240" w:line="276" w:lineRule="auto"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  <w:r w:rsidRPr="0001362C">
        <w:rPr>
          <w:rFonts w:ascii="Museo Sans 300" w:hAnsi="Museo Sans 300" w:cstheme="minorHAnsi"/>
          <w:b/>
          <w:iCs/>
          <w:sz w:val="22"/>
          <w:szCs w:val="22"/>
          <w:lang w:val="es-419"/>
        </w:rPr>
        <w:t>CEPA</w:t>
      </w: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 xml:space="preserve">: </w:t>
      </w:r>
    </w:p>
    <w:p w14:paraId="0B4DE73F" w14:textId="77777777" w:rsidR="00902C2A" w:rsidRPr="0001362C" w:rsidRDefault="00D508CB" w:rsidP="00902C2A">
      <w:pPr>
        <w:pStyle w:val="Prrafodelista"/>
        <w:numPr>
          <w:ilvl w:val="0"/>
          <w:numId w:val="8"/>
        </w:numPr>
        <w:spacing w:before="240" w:after="240" w:line="276" w:lineRule="auto"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>Construcción y equipamiento del Aeropuerto Internacional del Pacífico, departamento de La Unión,</w:t>
      </w:r>
    </w:p>
    <w:p w14:paraId="33F53960" w14:textId="46ACFFC7" w:rsidR="00D508CB" w:rsidRPr="0001362C" w:rsidRDefault="00D508CB" w:rsidP="00902C2A">
      <w:pPr>
        <w:pStyle w:val="Prrafodelista"/>
        <w:numPr>
          <w:ilvl w:val="0"/>
          <w:numId w:val="8"/>
        </w:numPr>
        <w:spacing w:before="240" w:after="240" w:line="276" w:lineRule="auto"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  <w:r w:rsidRPr="0001362C">
        <w:rPr>
          <w:rFonts w:ascii="Museo Sans 300" w:hAnsi="Museo Sans 300" w:cstheme="minorHAnsi"/>
          <w:iCs/>
          <w:sz w:val="22"/>
          <w:szCs w:val="22"/>
          <w:lang w:val="es-419"/>
        </w:rPr>
        <w:t>Ampliación del área de registro de pasajeros del Aeropuerto Internacional de El Salvador, San Óscar Arnulfo Romero y Galdámez.</w:t>
      </w:r>
    </w:p>
    <w:p w14:paraId="3BA99A96" w14:textId="77777777" w:rsidR="00AF59E7" w:rsidRPr="0001362C" w:rsidRDefault="00AF59E7" w:rsidP="00E61B3F">
      <w:pPr>
        <w:pStyle w:val="Textoindependiente2"/>
        <w:spacing w:after="0" w:line="276" w:lineRule="auto"/>
        <w:ind w:right="-32"/>
        <w:jc w:val="both"/>
        <w:rPr>
          <w:rFonts w:ascii="Museo Sans 300" w:hAnsi="Museo Sans 300" w:cstheme="minorHAnsi"/>
          <w:iCs/>
          <w:sz w:val="22"/>
          <w:szCs w:val="22"/>
          <w:lang w:val="es-419"/>
        </w:rPr>
      </w:pPr>
    </w:p>
    <w:p w14:paraId="749C5277" w14:textId="07862811" w:rsidR="000E7ED7" w:rsidRPr="0001362C" w:rsidRDefault="007B011D" w:rsidP="007C00E1">
      <w:pPr>
        <w:pStyle w:val="Ttulo4"/>
        <w:spacing w:line="360" w:lineRule="auto"/>
        <w:rPr>
          <w:rFonts w:ascii="Museo Sans 300" w:hAnsi="Museo Sans 300" w:cstheme="minorHAnsi"/>
          <w:i w:val="0"/>
          <w:szCs w:val="22"/>
          <w:lang w:val="es-419"/>
        </w:rPr>
      </w:pPr>
      <w:r>
        <w:rPr>
          <w:rFonts w:ascii="Museo Sans 300" w:hAnsi="Museo Sans 300" w:cstheme="minorHAnsi"/>
          <w:szCs w:val="22"/>
          <w:lang w:val="es-419"/>
        </w:rPr>
        <w:t>Inversión</w:t>
      </w:r>
      <w:r w:rsidR="00AF4809" w:rsidRPr="0001362C">
        <w:rPr>
          <w:rFonts w:ascii="Museo Sans 300" w:hAnsi="Museo Sans 300" w:cstheme="minorHAnsi"/>
          <w:szCs w:val="22"/>
          <w:lang w:val="es-MX"/>
        </w:rPr>
        <w:t xml:space="preserve"> por Sectores de Actividad</w:t>
      </w:r>
    </w:p>
    <w:p w14:paraId="3995BBEE" w14:textId="77777777" w:rsidR="008C6261" w:rsidRDefault="008C6261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</w:p>
    <w:p w14:paraId="2C14A79A" w14:textId="0133C192" w:rsidR="00AF4809" w:rsidRPr="0001362C" w:rsidRDefault="00AF4809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Por sectores de actividad, la inversión </w:t>
      </w:r>
      <w:r w:rsidRPr="0001362C">
        <w:rPr>
          <w:rFonts w:ascii="Museo Sans 300" w:hAnsi="Museo Sans 300" w:cstheme="minorHAnsi"/>
          <w:b/>
          <w:sz w:val="22"/>
          <w:szCs w:val="22"/>
          <w:lang w:val="es-MX"/>
        </w:rPr>
        <w:t>en el sector Desarrollo Económico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ejecutó un total de $</w:t>
      </w:r>
      <w:r w:rsidR="00B554CC" w:rsidRPr="0001362C">
        <w:rPr>
          <w:rFonts w:ascii="Museo Sans 300" w:hAnsi="Museo Sans 300" w:cstheme="minorHAnsi"/>
          <w:sz w:val="22"/>
          <w:szCs w:val="22"/>
          <w:lang w:val="es-MX"/>
        </w:rPr>
        <w:t>76.4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millones, con una participación de </w:t>
      </w:r>
      <w:r w:rsidR="00B554CC" w:rsidRPr="0001362C">
        <w:rPr>
          <w:rFonts w:ascii="Museo Sans 300" w:hAnsi="Museo Sans 300" w:cstheme="minorHAnsi"/>
          <w:sz w:val="22"/>
          <w:szCs w:val="22"/>
          <w:lang w:val="es-MX"/>
        </w:rPr>
        <w:t>23.2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% de la inversión total, destacando los recursos destinados al subsector de Transporte y Almacenaje con $</w:t>
      </w:r>
      <w:r w:rsidR="00B554CC" w:rsidRPr="0001362C">
        <w:rPr>
          <w:rFonts w:ascii="Museo Sans 300" w:hAnsi="Museo Sans 300" w:cstheme="minorHAnsi"/>
          <w:sz w:val="22"/>
          <w:szCs w:val="22"/>
          <w:lang w:val="es-MX"/>
        </w:rPr>
        <w:t>66.3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 con una participación del </w:t>
      </w:r>
      <w:r w:rsidR="00A9799B" w:rsidRPr="0001362C">
        <w:rPr>
          <w:rFonts w:ascii="Museo Sans 300" w:hAnsi="Museo Sans 300" w:cstheme="minorHAnsi"/>
          <w:sz w:val="22"/>
          <w:szCs w:val="22"/>
          <w:lang w:val="es-MX"/>
        </w:rPr>
        <w:t>2</w:t>
      </w:r>
      <w:r w:rsidR="00B554CC" w:rsidRPr="0001362C">
        <w:rPr>
          <w:rFonts w:ascii="Museo Sans 300" w:hAnsi="Museo Sans 300" w:cstheme="minorHAnsi"/>
          <w:sz w:val="22"/>
          <w:szCs w:val="22"/>
          <w:lang w:val="es-MX"/>
        </w:rPr>
        <w:t>0.2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% entre otros, tal como se muestra en la tabla No. 4.</w:t>
      </w:r>
    </w:p>
    <w:p w14:paraId="2F6E88E7" w14:textId="77777777" w:rsidR="00AF4809" w:rsidRPr="0001362C" w:rsidRDefault="00AF4809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</w:p>
    <w:p w14:paraId="3E86C41C" w14:textId="77777777" w:rsidR="00AF4809" w:rsidRPr="0001362C" w:rsidRDefault="00AF4809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Asimismo, la inversión </w:t>
      </w:r>
      <w:r w:rsidRPr="0001362C">
        <w:rPr>
          <w:rFonts w:ascii="Museo Sans 300" w:hAnsi="Museo Sans 300" w:cstheme="minorHAnsi"/>
          <w:b/>
          <w:sz w:val="22"/>
          <w:szCs w:val="22"/>
          <w:lang w:val="es-MX"/>
        </w:rPr>
        <w:t>para el Desarrollo Social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ascendió a $</w:t>
      </w:r>
      <w:r w:rsidR="00B554CC" w:rsidRPr="0001362C">
        <w:rPr>
          <w:rFonts w:ascii="Museo Sans 300" w:hAnsi="Museo Sans 300" w:cstheme="minorHAnsi"/>
          <w:sz w:val="22"/>
          <w:szCs w:val="22"/>
          <w:lang w:val="es-MX"/>
        </w:rPr>
        <w:t>241.8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millones, con una participación del </w:t>
      </w:r>
      <w:r w:rsidR="00B554CC" w:rsidRPr="0001362C">
        <w:rPr>
          <w:rFonts w:ascii="Museo Sans 300" w:hAnsi="Museo Sans 300" w:cstheme="minorHAnsi"/>
          <w:sz w:val="22"/>
          <w:szCs w:val="22"/>
          <w:lang w:val="es-MX"/>
        </w:rPr>
        <w:t>73.5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% en la inversión total, destacándose Desarrollo Urbano y Comunal con $</w:t>
      </w:r>
      <w:r w:rsidR="00B554CC" w:rsidRPr="0001362C">
        <w:rPr>
          <w:rFonts w:ascii="Museo Sans 300" w:hAnsi="Museo Sans 300" w:cstheme="minorHAnsi"/>
          <w:sz w:val="22"/>
          <w:szCs w:val="22"/>
          <w:lang w:val="es-MX"/>
        </w:rPr>
        <w:t>170.3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millones, equivalente a </w:t>
      </w:r>
      <w:r w:rsidR="00B554CC" w:rsidRPr="0001362C">
        <w:rPr>
          <w:rFonts w:ascii="Museo Sans 300" w:hAnsi="Museo Sans 300" w:cstheme="minorHAnsi"/>
          <w:sz w:val="22"/>
          <w:szCs w:val="22"/>
          <w:lang w:val="es-MX"/>
        </w:rPr>
        <w:t>51.8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% del total; Educación y Cultura $</w:t>
      </w:r>
      <w:r w:rsidR="00B554CC" w:rsidRPr="0001362C">
        <w:rPr>
          <w:rFonts w:ascii="Museo Sans 300" w:hAnsi="Museo Sans 300" w:cstheme="minorHAnsi"/>
          <w:sz w:val="22"/>
          <w:szCs w:val="22"/>
          <w:lang w:val="es-MX"/>
        </w:rPr>
        <w:t>45.9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 con una participación de 1</w:t>
      </w:r>
      <w:r w:rsidR="00B554CC" w:rsidRPr="0001362C">
        <w:rPr>
          <w:rFonts w:ascii="Museo Sans 300" w:hAnsi="Museo Sans 300" w:cstheme="minorHAnsi"/>
          <w:sz w:val="22"/>
          <w:szCs w:val="22"/>
          <w:lang w:val="es-MX"/>
        </w:rPr>
        <w:t>4.0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%; y Salud, $1</w:t>
      </w:r>
      <w:r w:rsidR="00A9799B" w:rsidRPr="0001362C">
        <w:rPr>
          <w:rFonts w:ascii="Museo Sans 300" w:hAnsi="Museo Sans 300" w:cstheme="minorHAnsi"/>
          <w:sz w:val="22"/>
          <w:szCs w:val="22"/>
          <w:lang w:val="es-MX"/>
        </w:rPr>
        <w:t>7</w:t>
      </w:r>
      <w:r w:rsidR="00171E3B" w:rsidRPr="0001362C">
        <w:rPr>
          <w:rFonts w:ascii="Museo Sans 300" w:hAnsi="Museo Sans 300" w:cstheme="minorHAnsi"/>
          <w:sz w:val="22"/>
          <w:szCs w:val="22"/>
          <w:lang w:val="es-MX"/>
        </w:rPr>
        <w:t>.9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 equivalente a </w:t>
      </w:r>
      <w:r w:rsidR="00171E3B" w:rsidRPr="0001362C">
        <w:rPr>
          <w:rFonts w:ascii="Museo Sans 300" w:hAnsi="Museo Sans 300" w:cstheme="minorHAnsi"/>
          <w:sz w:val="22"/>
          <w:szCs w:val="22"/>
          <w:lang w:val="es-MX"/>
        </w:rPr>
        <w:t>5.5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% entre otros.</w:t>
      </w:r>
    </w:p>
    <w:p w14:paraId="531E36DE" w14:textId="77777777" w:rsidR="000E7ED7" w:rsidRPr="0001362C" w:rsidRDefault="000E7ED7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419"/>
        </w:rPr>
      </w:pPr>
    </w:p>
    <w:p w14:paraId="66A97393" w14:textId="77777777" w:rsidR="00D3635C" w:rsidRPr="0001362C" w:rsidRDefault="00D3635C" w:rsidP="00E61B3F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6897AB6B" w14:textId="77777777" w:rsidR="00B63F6F" w:rsidRDefault="00B63F6F" w:rsidP="00E61B3F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704EFDB2" w14:textId="77777777" w:rsidR="00B63F6F" w:rsidRDefault="00B63F6F" w:rsidP="00E61B3F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197AEA9C" w14:textId="77777777" w:rsidR="00B63F6F" w:rsidRDefault="00B63F6F" w:rsidP="00E61B3F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2C7CF288" w14:textId="77777777" w:rsidR="00B63F6F" w:rsidRDefault="00B63F6F" w:rsidP="00E61B3F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1FA613F3" w14:textId="77777777" w:rsidR="00B63F6F" w:rsidRDefault="00B63F6F" w:rsidP="00E61B3F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6A843D38" w14:textId="77777777" w:rsidR="00B63F6F" w:rsidRDefault="00B63F6F" w:rsidP="00E61B3F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6414EB9C" w14:textId="77777777" w:rsidR="00B63F6F" w:rsidRDefault="00B63F6F" w:rsidP="00E61B3F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330A85AD" w14:textId="77777777" w:rsidR="00B63F6F" w:rsidRDefault="00B63F6F" w:rsidP="00E61B3F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4B28D737" w14:textId="77777777" w:rsidR="00B63F6F" w:rsidRDefault="00B63F6F" w:rsidP="00E61B3F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24E0816A" w14:textId="77777777" w:rsidR="00B63F6F" w:rsidRDefault="00B63F6F" w:rsidP="00E61B3F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2626745B" w14:textId="77777777" w:rsidR="00B63F6F" w:rsidRDefault="00B63F6F" w:rsidP="00E61B3F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31858F92" w14:textId="53D17947" w:rsidR="000E7ED7" w:rsidRPr="0001362C" w:rsidRDefault="00A9799B" w:rsidP="00E61B3F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>Tabla 4</w:t>
      </w:r>
      <w:r w:rsidR="000E7ED7"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: Inversión Pública </w:t>
      </w:r>
      <w:r w:rsidR="00724E84" w:rsidRPr="0001362C">
        <w:rPr>
          <w:rFonts w:ascii="Museo Sans 300" w:hAnsi="Museo Sans 300" w:cstheme="minorHAnsi"/>
          <w:i/>
          <w:sz w:val="22"/>
          <w:szCs w:val="22"/>
          <w:lang w:val="es-MX"/>
        </w:rPr>
        <w:t>a marzo</w:t>
      </w:r>
      <w:r w:rsidR="000E7ED7"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 </w:t>
      </w:r>
      <w:r w:rsidR="00677617"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por sectores </w:t>
      </w:r>
      <w:r w:rsidR="000E7ED7" w:rsidRPr="0001362C">
        <w:rPr>
          <w:rFonts w:ascii="Museo Sans 300" w:hAnsi="Museo Sans 300" w:cstheme="minorHAnsi"/>
          <w:i/>
          <w:sz w:val="22"/>
          <w:szCs w:val="22"/>
          <w:lang w:val="es-MX"/>
        </w:rPr>
        <w:t>202</w:t>
      </w:r>
      <w:r w:rsidR="00E22524" w:rsidRPr="0001362C">
        <w:rPr>
          <w:rFonts w:ascii="Museo Sans 300" w:hAnsi="Museo Sans 300" w:cstheme="minorHAnsi"/>
          <w:i/>
          <w:sz w:val="22"/>
          <w:szCs w:val="22"/>
          <w:lang w:val="es-MX"/>
        </w:rPr>
        <w:t>5</w:t>
      </w:r>
    </w:p>
    <w:p w14:paraId="6BE19AEB" w14:textId="6DBFAADA" w:rsidR="00AF4809" w:rsidRPr="0001362C" w:rsidRDefault="00AF4809" w:rsidP="00055C62">
      <w:pPr>
        <w:spacing w:after="240"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>(En millones de $ y % de Participación)</w:t>
      </w:r>
    </w:p>
    <w:bookmarkStart w:id="43" w:name="_MON_1816431122"/>
    <w:bookmarkEnd w:id="43"/>
    <w:p w14:paraId="6D0A5D36" w14:textId="18A3A46A" w:rsidR="00D3635C" w:rsidRDefault="007C6D9F" w:rsidP="00055C62">
      <w:pPr>
        <w:spacing w:after="240"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object w:dxaOrig="7849" w:dyaOrig="6842" w14:anchorId="086A5B6C">
          <v:shape id="_x0000_i1026" type="#_x0000_t75" style="width:392.05pt;height:341.85pt" o:ole="">
            <v:imagedata r:id="rId17" o:title=""/>
          </v:shape>
          <o:OLEObject Type="Embed" ProgID="Excel.Sheet.12" ShapeID="_x0000_i1026" DrawAspect="Content" ObjectID="_1817020481" r:id="rId18"/>
        </w:object>
      </w:r>
    </w:p>
    <w:p w14:paraId="58E72C74" w14:textId="456FE06A" w:rsidR="00806290" w:rsidRPr="0001362C" w:rsidRDefault="00806290" w:rsidP="00806290">
      <w:pPr>
        <w:spacing w:after="240" w:line="276" w:lineRule="auto"/>
        <w:rPr>
          <w:rFonts w:ascii="Museo Sans 300" w:hAnsi="Museo Sans 300" w:cstheme="minorHAnsi"/>
          <w:i/>
          <w:sz w:val="22"/>
          <w:szCs w:val="22"/>
          <w:lang w:val="es-MX"/>
        </w:rPr>
      </w:pPr>
      <w:r>
        <w:rPr>
          <w:rFonts w:ascii="Museo Sans 300" w:hAnsi="Museo Sans 300" w:cstheme="minorHAnsi"/>
          <w:iCs/>
          <w:sz w:val="18"/>
          <w:szCs w:val="18"/>
          <w:lang w:val="es-SV"/>
        </w:rPr>
        <w:t xml:space="preserve">             </w:t>
      </w:r>
      <w:r w:rsidRPr="004B1D41">
        <w:rPr>
          <w:rFonts w:ascii="Museo Sans 300" w:hAnsi="Museo Sans 300" w:cstheme="minorHAnsi"/>
          <w:iCs/>
          <w:sz w:val="18"/>
          <w:szCs w:val="18"/>
          <w:lang w:val="es-SV"/>
        </w:rPr>
        <w:t>Fuente: Ministerio de Hacienda</w:t>
      </w:r>
    </w:p>
    <w:p w14:paraId="5B780590" w14:textId="2786A07F" w:rsidR="00AD50B4" w:rsidRPr="0001362C" w:rsidRDefault="007C00E1" w:rsidP="00D93C5E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sz w:val="22"/>
          <w:szCs w:val="22"/>
          <w:lang w:val="es-419"/>
        </w:rPr>
        <w:br w:type="page"/>
      </w:r>
      <w:r w:rsidR="00465C72" w:rsidRPr="0001362C">
        <w:rPr>
          <w:rFonts w:ascii="Museo Sans 300" w:hAnsi="Museo Sans 300" w:cstheme="minorHAnsi"/>
          <w:sz w:val="22"/>
          <w:szCs w:val="22"/>
          <w:lang w:val="es-MX"/>
        </w:rPr>
        <w:lastRenderedPageBreak/>
        <w:t>3.</w:t>
      </w:r>
      <w:r w:rsidR="00AD50B4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Deuda del SPNF</w:t>
      </w:r>
    </w:p>
    <w:p w14:paraId="78C801A0" w14:textId="77777777" w:rsidR="00D93C5E" w:rsidRPr="0001362C" w:rsidRDefault="00D93C5E" w:rsidP="00055C62">
      <w:pPr>
        <w:spacing w:after="240"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bookmarkStart w:id="44" w:name="_Hlk128489649"/>
      <w:bookmarkStart w:id="45" w:name="_Hlk121213031"/>
    </w:p>
    <w:p w14:paraId="267A5BED" w14:textId="72C7DF22" w:rsidR="00F8792F" w:rsidRPr="0001362C" w:rsidRDefault="00AD50B4" w:rsidP="00055C62">
      <w:pPr>
        <w:spacing w:after="240"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sz w:val="22"/>
          <w:szCs w:val="22"/>
          <w:lang w:val="es-MX"/>
        </w:rPr>
        <w:t>La deuda del SPNF sin</w:t>
      </w:r>
      <w:r w:rsidR="00B172C6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</w:t>
      </w:r>
      <w:r w:rsidR="00FA2DBA" w:rsidRPr="0001362C">
        <w:rPr>
          <w:rFonts w:ascii="Museo Sans 300" w:hAnsi="Museo Sans 300" w:cstheme="minorHAnsi"/>
          <w:sz w:val="22"/>
          <w:szCs w:val="22"/>
          <w:lang w:val="es-MX"/>
        </w:rPr>
        <w:t>incluir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pensiones </w:t>
      </w:r>
      <w:r w:rsidR="00724E84" w:rsidRPr="0001362C">
        <w:rPr>
          <w:rFonts w:ascii="Museo Sans 300" w:hAnsi="Museo Sans 300" w:cstheme="minorHAnsi"/>
          <w:sz w:val="22"/>
          <w:szCs w:val="22"/>
          <w:lang w:val="es-MX"/>
        </w:rPr>
        <w:t>al mes de marzo 2025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ascendió a $</w:t>
      </w:r>
      <w:r w:rsidR="004B5B4E" w:rsidRPr="0001362C">
        <w:rPr>
          <w:rFonts w:ascii="Museo Sans 300" w:hAnsi="Museo Sans 300" w:cstheme="minorHAnsi"/>
          <w:sz w:val="22"/>
          <w:szCs w:val="22"/>
          <w:lang w:val="es-MX"/>
        </w:rPr>
        <w:t>20,</w:t>
      </w:r>
      <w:r w:rsidR="00171E3B" w:rsidRPr="0001362C">
        <w:rPr>
          <w:rFonts w:ascii="Museo Sans 300" w:hAnsi="Museo Sans 300" w:cstheme="minorHAnsi"/>
          <w:sz w:val="22"/>
          <w:szCs w:val="22"/>
          <w:lang w:val="es-MX"/>
        </w:rPr>
        <w:t>513.7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millones, equivalentes a 5</w:t>
      </w:r>
      <w:r w:rsidR="00171E3B" w:rsidRPr="0001362C">
        <w:rPr>
          <w:rFonts w:ascii="Museo Sans 300" w:hAnsi="Museo Sans 300" w:cstheme="minorHAnsi"/>
          <w:sz w:val="22"/>
          <w:szCs w:val="22"/>
          <w:lang w:val="es-MX"/>
        </w:rPr>
        <w:t>5.9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% del PIB</w:t>
      </w:r>
      <w:r w:rsidR="00677617" w:rsidRPr="0001362C">
        <w:rPr>
          <w:rFonts w:ascii="Museo Sans 300" w:hAnsi="Museo Sans 300" w:cstheme="minorHAnsi"/>
          <w:sz w:val="22"/>
          <w:szCs w:val="22"/>
          <w:lang w:val="es-MX"/>
        </w:rPr>
        <w:t>.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Dicho saldo está compuesto por $12,</w:t>
      </w:r>
      <w:r w:rsidR="00361FF7" w:rsidRPr="0001362C">
        <w:rPr>
          <w:rFonts w:ascii="Museo Sans 300" w:hAnsi="Museo Sans 300" w:cstheme="minorHAnsi"/>
          <w:sz w:val="22"/>
          <w:szCs w:val="22"/>
          <w:lang w:val="es-MX"/>
        </w:rPr>
        <w:t>9</w:t>
      </w:r>
      <w:r w:rsidR="00171E3B" w:rsidRPr="0001362C">
        <w:rPr>
          <w:rFonts w:ascii="Museo Sans 300" w:hAnsi="Museo Sans 300" w:cstheme="minorHAnsi"/>
          <w:sz w:val="22"/>
          <w:szCs w:val="22"/>
          <w:lang w:val="es-MX"/>
        </w:rPr>
        <w:t>99.0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 que corresponden a deuda externa, equivalente a 3</w:t>
      </w:r>
      <w:r w:rsidR="00171E3B" w:rsidRPr="0001362C">
        <w:rPr>
          <w:rFonts w:ascii="Museo Sans 300" w:hAnsi="Museo Sans 300" w:cstheme="minorHAnsi"/>
          <w:sz w:val="22"/>
          <w:szCs w:val="22"/>
          <w:lang w:val="es-MX"/>
        </w:rPr>
        <w:t>5.4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% del PIB y $7,</w:t>
      </w:r>
      <w:r w:rsidR="00171E3B" w:rsidRPr="0001362C">
        <w:rPr>
          <w:rFonts w:ascii="Museo Sans 300" w:hAnsi="Museo Sans 300" w:cstheme="minorHAnsi"/>
          <w:sz w:val="22"/>
          <w:szCs w:val="22"/>
          <w:lang w:val="es-MX"/>
        </w:rPr>
        <w:t>514.7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 correspondientes a deuda interna, representando el 2</w:t>
      </w:r>
      <w:r w:rsidR="00171E3B" w:rsidRPr="0001362C">
        <w:rPr>
          <w:rFonts w:ascii="Museo Sans 300" w:hAnsi="Museo Sans 300" w:cstheme="minorHAnsi"/>
          <w:sz w:val="22"/>
          <w:szCs w:val="22"/>
          <w:lang w:val="es-MX"/>
        </w:rPr>
        <w:t>0.5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% del PIB.</w:t>
      </w:r>
    </w:p>
    <w:p w14:paraId="3F255B2E" w14:textId="5EF869D5" w:rsidR="00B172C6" w:rsidRPr="0001362C" w:rsidRDefault="00812726" w:rsidP="00055C62">
      <w:pPr>
        <w:spacing w:after="240"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Con relación a las obligaciones provisionales, el</w:t>
      </w:r>
      <w:r w:rsidR="00B172C6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saldo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, al mes de marzo, </w:t>
      </w:r>
      <w:r w:rsidR="00B172C6" w:rsidRPr="0001362C">
        <w:rPr>
          <w:rFonts w:ascii="Museo Sans 300" w:hAnsi="Museo Sans 300" w:cstheme="minorHAnsi"/>
          <w:sz w:val="22"/>
          <w:szCs w:val="22"/>
          <w:lang w:val="es-MX"/>
        </w:rPr>
        <w:t>de Certificados de Financiamiento de Transición (CFT) por $8,395.7 millones y el saldo de Certificados de Obligaciones Previsionales (COP) por $2,301.4 millones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La Deuda del SPNF incluyendo las obligaciones previsionales suma </w:t>
      </w:r>
      <w:r w:rsidR="00B172C6" w:rsidRPr="0001362C">
        <w:rPr>
          <w:rFonts w:ascii="Museo Sans 300" w:hAnsi="Museo Sans 300" w:cstheme="minorHAnsi"/>
          <w:sz w:val="22"/>
          <w:szCs w:val="22"/>
          <w:lang w:val="es-MX"/>
        </w:rPr>
        <w:t>$31,210.8 millones</w:t>
      </w:r>
      <w:r w:rsidR="00677617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equivalente a </w:t>
      </w:r>
      <w:r w:rsidR="00B172C6" w:rsidRPr="002D6257">
        <w:rPr>
          <w:rFonts w:ascii="Museo Sans 300" w:hAnsi="Museo Sans 300" w:cstheme="minorHAnsi"/>
          <w:sz w:val="22"/>
          <w:szCs w:val="22"/>
          <w:lang w:val="es-MX"/>
        </w:rPr>
        <w:t>85.0% del PIB</w:t>
      </w:r>
      <w:r w:rsidR="00677617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. </w:t>
      </w:r>
    </w:p>
    <w:p w14:paraId="1727C383" w14:textId="77777777" w:rsidR="00AD50B4" w:rsidRPr="0001362C" w:rsidRDefault="00AD50B4" w:rsidP="007C00E1">
      <w:pPr>
        <w:pStyle w:val="Ttulo3"/>
        <w:spacing w:line="480" w:lineRule="auto"/>
        <w:rPr>
          <w:rFonts w:ascii="Museo Sans 300" w:hAnsi="Museo Sans 300" w:cstheme="minorHAnsi"/>
          <w:szCs w:val="22"/>
          <w:lang w:val="es-MX"/>
        </w:rPr>
      </w:pPr>
      <w:bookmarkStart w:id="46" w:name="_Toc169162417"/>
      <w:bookmarkStart w:id="47" w:name="_Toc205889708"/>
      <w:r w:rsidRPr="0001362C">
        <w:rPr>
          <w:rFonts w:ascii="Museo Sans 300" w:hAnsi="Museo Sans 300" w:cstheme="minorHAnsi"/>
          <w:szCs w:val="22"/>
          <w:lang w:val="es-MX"/>
        </w:rPr>
        <w:t>3.1 Deuda Interna</w:t>
      </w:r>
      <w:bookmarkEnd w:id="46"/>
      <w:bookmarkEnd w:id="47"/>
    </w:p>
    <w:p w14:paraId="6B843D39" w14:textId="77777777" w:rsidR="00AD50B4" w:rsidRPr="0001362C" w:rsidRDefault="00AD50B4" w:rsidP="00055C62">
      <w:pPr>
        <w:spacing w:after="240"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sz w:val="22"/>
          <w:szCs w:val="22"/>
          <w:lang w:val="es-MX"/>
        </w:rPr>
        <w:t>La composición del saldo de deuda interna se distribuye así: Bonos cuyo saldo asciende a $</w:t>
      </w:r>
      <w:r w:rsidR="00171E3B" w:rsidRPr="0001362C">
        <w:rPr>
          <w:rFonts w:ascii="Museo Sans 300" w:hAnsi="Museo Sans 300" w:cstheme="minorHAnsi"/>
          <w:sz w:val="22"/>
          <w:szCs w:val="22"/>
          <w:lang w:val="es-MX"/>
        </w:rPr>
        <w:t>5,006.6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millones; $1,</w:t>
      </w:r>
      <w:r w:rsidR="007B7CA2" w:rsidRPr="0001362C">
        <w:rPr>
          <w:rFonts w:ascii="Museo Sans 300" w:hAnsi="Museo Sans 300" w:cstheme="minorHAnsi"/>
          <w:sz w:val="22"/>
          <w:szCs w:val="22"/>
          <w:lang w:val="es-MX"/>
        </w:rPr>
        <w:t>1</w:t>
      </w:r>
      <w:r w:rsidR="00171E3B" w:rsidRPr="0001362C">
        <w:rPr>
          <w:rFonts w:ascii="Museo Sans 300" w:hAnsi="Museo Sans 300" w:cstheme="minorHAnsi"/>
          <w:sz w:val="22"/>
          <w:szCs w:val="22"/>
          <w:lang w:val="es-MX"/>
        </w:rPr>
        <w:t>17.9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 corresponden a LETES; $25</w:t>
      </w:r>
      <w:r w:rsidR="007B7CA2" w:rsidRPr="0001362C">
        <w:rPr>
          <w:rFonts w:ascii="Museo Sans 300" w:hAnsi="Museo Sans 300" w:cstheme="minorHAnsi"/>
          <w:sz w:val="22"/>
          <w:szCs w:val="22"/>
          <w:lang w:val="es-MX"/>
        </w:rPr>
        <w:t>3.1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 a CETES; BCR, con $1,0</w:t>
      </w:r>
      <w:r w:rsidR="007B7CA2" w:rsidRPr="0001362C">
        <w:rPr>
          <w:rFonts w:ascii="Museo Sans 300" w:hAnsi="Museo Sans 300" w:cstheme="minorHAnsi"/>
          <w:sz w:val="22"/>
          <w:szCs w:val="22"/>
          <w:lang w:val="es-MX"/>
        </w:rPr>
        <w:t>6</w:t>
      </w:r>
      <w:r w:rsidR="00171E3B" w:rsidRPr="0001362C">
        <w:rPr>
          <w:rFonts w:ascii="Museo Sans 300" w:hAnsi="Museo Sans 300" w:cstheme="minorHAnsi"/>
          <w:sz w:val="22"/>
          <w:szCs w:val="22"/>
          <w:lang w:val="es-MX"/>
        </w:rPr>
        <w:t>8.8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 (Bonos conversión y consolidación deuda GOES-BCR y Bonos DEG GOES-BCR) y otros con $6</w:t>
      </w:r>
      <w:r w:rsidR="00171E3B" w:rsidRPr="0001362C">
        <w:rPr>
          <w:rFonts w:ascii="Museo Sans 300" w:hAnsi="Museo Sans 300" w:cstheme="minorHAnsi"/>
          <w:sz w:val="22"/>
          <w:szCs w:val="22"/>
          <w:lang w:val="es-MX"/>
        </w:rPr>
        <w:t>6.2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millones.</w:t>
      </w:r>
      <w:bookmarkStart w:id="48" w:name="_Toc169162418"/>
      <w:bookmarkEnd w:id="44"/>
    </w:p>
    <w:p w14:paraId="4B2D9C3B" w14:textId="77777777" w:rsidR="00AD50B4" w:rsidRPr="0001362C" w:rsidRDefault="00AD50B4" w:rsidP="007C00E1">
      <w:pPr>
        <w:pStyle w:val="Ttulo3"/>
        <w:spacing w:line="480" w:lineRule="auto"/>
        <w:rPr>
          <w:rFonts w:ascii="Museo Sans 300" w:hAnsi="Museo Sans 300" w:cstheme="minorHAnsi"/>
          <w:szCs w:val="22"/>
          <w:lang w:val="es-MX"/>
        </w:rPr>
      </w:pPr>
      <w:bookmarkStart w:id="49" w:name="_Toc205889709"/>
      <w:r w:rsidRPr="0001362C">
        <w:rPr>
          <w:rFonts w:ascii="Museo Sans 300" w:hAnsi="Museo Sans 300" w:cstheme="minorHAnsi"/>
          <w:szCs w:val="22"/>
          <w:lang w:val="es-MX"/>
        </w:rPr>
        <w:t>3.2 Deuda externa</w:t>
      </w:r>
      <w:bookmarkEnd w:id="48"/>
      <w:bookmarkEnd w:id="49"/>
    </w:p>
    <w:p w14:paraId="2FCF6C42" w14:textId="77777777" w:rsidR="00AD50B4" w:rsidRPr="0001362C" w:rsidRDefault="00AD50B4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sz w:val="22"/>
          <w:szCs w:val="22"/>
          <w:lang w:val="es-MX"/>
        </w:rPr>
        <w:t>El saldo de la deuda externa está compuesto de la siguiente manera: Instituciones multilaterales, con $6,</w:t>
      </w:r>
      <w:r w:rsidR="00171E3B" w:rsidRPr="0001362C">
        <w:rPr>
          <w:rFonts w:ascii="Museo Sans 300" w:hAnsi="Museo Sans 300" w:cstheme="minorHAnsi"/>
          <w:sz w:val="22"/>
          <w:szCs w:val="22"/>
          <w:lang w:val="es-MX"/>
        </w:rPr>
        <w:t>399</w:t>
      </w:r>
      <w:r w:rsidR="00604BE3" w:rsidRPr="0001362C">
        <w:rPr>
          <w:rFonts w:ascii="Museo Sans 300" w:hAnsi="Museo Sans 300" w:cstheme="minorHAnsi"/>
          <w:sz w:val="22"/>
          <w:szCs w:val="22"/>
          <w:lang w:val="es-MX"/>
        </w:rPr>
        <w:t>.7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millones, destacándose el BCIE con un saldo de $2,7</w:t>
      </w:r>
      <w:r w:rsidR="00604BE3" w:rsidRPr="0001362C">
        <w:rPr>
          <w:rFonts w:ascii="Museo Sans 300" w:hAnsi="Museo Sans 300" w:cstheme="minorHAnsi"/>
          <w:sz w:val="22"/>
          <w:szCs w:val="22"/>
          <w:lang w:val="es-MX"/>
        </w:rPr>
        <w:t>72.8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millones, el BID con $1,9</w:t>
      </w:r>
      <w:r w:rsidR="00604BE3" w:rsidRPr="0001362C">
        <w:rPr>
          <w:rFonts w:ascii="Museo Sans 300" w:hAnsi="Museo Sans 300" w:cstheme="minorHAnsi"/>
          <w:sz w:val="22"/>
          <w:szCs w:val="22"/>
          <w:lang w:val="es-MX"/>
        </w:rPr>
        <w:t>64.7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millones; y el BIRF con $</w:t>
      </w:r>
      <w:r w:rsidR="00604BE3" w:rsidRPr="0001362C">
        <w:rPr>
          <w:rFonts w:ascii="Museo Sans 300" w:hAnsi="Museo Sans 300" w:cstheme="minorHAnsi"/>
          <w:sz w:val="22"/>
          <w:szCs w:val="22"/>
          <w:lang w:val="es-MX"/>
        </w:rPr>
        <w:t>898.0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millones, entre otros. </w:t>
      </w:r>
    </w:p>
    <w:p w14:paraId="4378FE3D" w14:textId="77777777" w:rsidR="00FE63F6" w:rsidRPr="0001362C" w:rsidRDefault="00FE63F6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</w:p>
    <w:p w14:paraId="7641B571" w14:textId="77777777" w:rsidR="004B1D41" w:rsidRPr="0001362C" w:rsidRDefault="004B1D41" w:rsidP="004B1D41">
      <w:pPr>
        <w:spacing w:after="240"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sz w:val="22"/>
          <w:szCs w:val="22"/>
          <w:lang w:val="es-MX"/>
        </w:rPr>
        <w:t>La deuda bilateral ascendió a $363.4 millones, sobresaliendo Japón con un saldo de $161.5 millones, Alemania con $76.8 millones, entre otros.</w:t>
      </w:r>
    </w:p>
    <w:p w14:paraId="51DAA550" w14:textId="77777777" w:rsidR="004B1D41" w:rsidRPr="0001362C" w:rsidRDefault="004B1D41" w:rsidP="004B1D41">
      <w:pPr>
        <w:spacing w:after="240"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Finalmente, los eurobonos en poder de no residentes (deuda comercial) ascendieron a $6,235.9 millones. Dicho saldo incluye la Estrategia de manejo de pasivos que se desarrolló durante el año 2024, donde se realizaron tres operaciones ejecutada durante los meses de abril, octubre y noviembre, con todas estas operaciones se han recomprado bonos de diferentes vencimientos y se ha suavizado el perfil de la deuda soberana, reduciendo sustancialmente el riesgo de refinanciamiento y las presiones fiscales de corto plazo. </w:t>
      </w:r>
    </w:p>
    <w:p w14:paraId="6792CCD4" w14:textId="77777777" w:rsidR="004B1D41" w:rsidRDefault="004B1D41" w:rsidP="004B1D41">
      <w:pPr>
        <w:spacing w:after="240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04D9E583" w14:textId="77777777" w:rsidR="004B1D41" w:rsidRDefault="004B1D41" w:rsidP="003C1660">
      <w:pPr>
        <w:spacing w:after="240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4C9494B3" w14:textId="77777777" w:rsidR="004B1D41" w:rsidRDefault="004B1D41" w:rsidP="003C1660">
      <w:pPr>
        <w:spacing w:after="240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18AA363B" w14:textId="4C04D23E" w:rsidR="004B1D41" w:rsidRDefault="004B1D41" w:rsidP="003C1660">
      <w:pPr>
        <w:spacing w:after="240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700268BD" w14:textId="77777777" w:rsidR="004B1D41" w:rsidRDefault="004B1D41" w:rsidP="003C1660">
      <w:pPr>
        <w:spacing w:after="240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13BE30F8" w14:textId="7B1967A6" w:rsidR="00055C62" w:rsidRPr="0001362C" w:rsidRDefault="00055C62" w:rsidP="003C1660">
      <w:pPr>
        <w:spacing w:after="240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lastRenderedPageBreak/>
        <w:t>Gráfico 7: Saldo de la Deuda del SPNF 20</w:t>
      </w:r>
      <w:r w:rsidR="00FE63F6" w:rsidRPr="0001362C">
        <w:rPr>
          <w:rFonts w:ascii="Museo Sans 300" w:hAnsi="Museo Sans 300" w:cstheme="minorHAnsi"/>
          <w:i/>
          <w:sz w:val="22"/>
          <w:szCs w:val="22"/>
          <w:lang w:val="es-MX"/>
        </w:rPr>
        <w:t>20</w:t>
      </w: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 –202</w:t>
      </w:r>
      <w:r w:rsidR="000614F9" w:rsidRPr="0001362C">
        <w:rPr>
          <w:rFonts w:ascii="Museo Sans 300" w:hAnsi="Museo Sans 300" w:cstheme="minorHAnsi"/>
          <w:i/>
          <w:sz w:val="22"/>
          <w:szCs w:val="22"/>
          <w:lang w:val="es-MX"/>
        </w:rPr>
        <w:t>5</w:t>
      </w: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 </w:t>
      </w:r>
    </w:p>
    <w:p w14:paraId="02696686" w14:textId="3EDC3A54" w:rsidR="00055C62" w:rsidRPr="00806290" w:rsidRDefault="00076592" w:rsidP="00055C62">
      <w:pPr>
        <w:spacing w:line="276" w:lineRule="auto"/>
        <w:jc w:val="center"/>
        <w:rPr>
          <w:rFonts w:ascii="Museo Sans 300" w:hAnsi="Museo Sans 300" w:cstheme="minorHAnsi"/>
          <w:sz w:val="22"/>
          <w:szCs w:val="22"/>
          <w:lang w:val="es-MX"/>
        </w:rPr>
      </w:pPr>
      <w:r w:rsidRPr="00806290">
        <w:rPr>
          <w:rFonts w:ascii="Museo Sans 300" w:hAnsi="Museo Sans 300"/>
          <w:noProof/>
          <w:sz w:val="22"/>
          <w:szCs w:val="22"/>
        </w:rPr>
        <w:drawing>
          <wp:inline distT="0" distB="0" distL="0" distR="0" wp14:anchorId="21B6911E" wp14:editId="73E9F540">
            <wp:extent cx="5486400" cy="3200400"/>
            <wp:effectExtent l="0" t="0" r="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CF9D72B" w14:textId="28EB75D6" w:rsidR="004B1D41" w:rsidRPr="00806290" w:rsidRDefault="00806290" w:rsidP="007C00E1">
      <w:pPr>
        <w:pStyle w:val="Ttulo3"/>
        <w:spacing w:line="480" w:lineRule="auto"/>
        <w:rPr>
          <w:rFonts w:ascii="Museo Sans 300" w:hAnsi="Museo Sans 300" w:cstheme="minorHAnsi"/>
          <w:color w:val="auto"/>
          <w:szCs w:val="22"/>
          <w:lang w:val="es-MX"/>
        </w:rPr>
      </w:pPr>
      <w:bookmarkStart w:id="50" w:name="_Toc56581217"/>
      <w:bookmarkStart w:id="51" w:name="_Toc169162419"/>
      <w:bookmarkStart w:id="52" w:name="_Toc205889710"/>
      <w:bookmarkEnd w:id="45"/>
      <w:r w:rsidRPr="00806290">
        <w:rPr>
          <w:rFonts w:ascii="Museo Sans 300" w:hAnsi="Museo Sans 300" w:cstheme="minorHAnsi"/>
          <w:iCs/>
          <w:color w:val="auto"/>
          <w:sz w:val="18"/>
          <w:szCs w:val="18"/>
          <w:lang w:val="es-SV"/>
        </w:rPr>
        <w:t>Fuente: Ministerio de Hacienda</w:t>
      </w:r>
    </w:p>
    <w:p w14:paraId="387039FA" w14:textId="27792129" w:rsidR="006E73AF" w:rsidRPr="0001362C" w:rsidRDefault="006E73AF" w:rsidP="007C00E1">
      <w:pPr>
        <w:pStyle w:val="Ttulo3"/>
        <w:spacing w:line="480" w:lineRule="auto"/>
        <w:rPr>
          <w:rFonts w:ascii="Museo Sans 300" w:hAnsi="Museo Sans 300" w:cstheme="minorHAnsi"/>
          <w:szCs w:val="22"/>
          <w:lang w:val="es-MX"/>
        </w:rPr>
      </w:pPr>
      <w:r w:rsidRPr="0001362C">
        <w:rPr>
          <w:rFonts w:ascii="Museo Sans 300" w:hAnsi="Museo Sans 300" w:cstheme="minorHAnsi"/>
          <w:szCs w:val="22"/>
          <w:lang w:val="es-MX"/>
        </w:rPr>
        <w:t>3.</w:t>
      </w:r>
      <w:r w:rsidR="00C44EDC" w:rsidRPr="0001362C">
        <w:rPr>
          <w:rFonts w:ascii="Museo Sans 300" w:hAnsi="Museo Sans 300" w:cstheme="minorHAnsi"/>
          <w:szCs w:val="22"/>
          <w:lang w:val="es-MX"/>
        </w:rPr>
        <w:t>3</w:t>
      </w:r>
      <w:r w:rsidRPr="0001362C">
        <w:rPr>
          <w:rFonts w:ascii="Museo Sans 300" w:hAnsi="Museo Sans 300" w:cstheme="minorHAnsi"/>
          <w:szCs w:val="22"/>
          <w:lang w:val="es-MX"/>
        </w:rPr>
        <w:t xml:space="preserve"> Servicio de la deuda del SPNF</w:t>
      </w:r>
      <w:bookmarkEnd w:id="50"/>
      <w:bookmarkEnd w:id="51"/>
      <w:bookmarkEnd w:id="52"/>
    </w:p>
    <w:p w14:paraId="446CFF11" w14:textId="77777777" w:rsidR="00DB2814" w:rsidRPr="0001362C" w:rsidRDefault="00DB2814" w:rsidP="00DB2814">
      <w:pPr>
        <w:spacing w:line="276" w:lineRule="auto"/>
        <w:ind w:right="-32"/>
        <w:jc w:val="both"/>
        <w:outlineLvl w:val="0"/>
        <w:rPr>
          <w:rFonts w:ascii="Museo Sans 300" w:hAnsi="Museo Sans 300" w:cstheme="minorHAnsi"/>
          <w:b/>
          <w:i/>
          <w:iCs/>
          <w:color w:val="000000" w:themeColor="text1"/>
          <w:sz w:val="22"/>
          <w:szCs w:val="22"/>
        </w:rPr>
      </w:pPr>
      <w:bookmarkStart w:id="53" w:name="_Toc169160199"/>
    </w:p>
    <w:p w14:paraId="24820173" w14:textId="1A779B75" w:rsidR="00DB2814" w:rsidRPr="0001362C" w:rsidRDefault="00DB2814" w:rsidP="001F4115">
      <w:pPr>
        <w:spacing w:after="240"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sz w:val="22"/>
          <w:szCs w:val="22"/>
          <w:lang w:val="es-MX"/>
        </w:rPr>
        <w:t>El servicio de deuda del SPNF al mes de marzo 2025 ascendió a un valor de $1,206.0 millones, de los cuales corresponde a las amortizaciones $774.5 millones. Dentro de este valor le corresponde a la deuda de corto plazo (LETES)</w:t>
      </w:r>
      <w:r w:rsidR="00922339">
        <w:rPr>
          <w:rFonts w:ascii="Museo Sans 300" w:hAnsi="Museo Sans 300" w:cstheme="minorHAnsi"/>
          <w:sz w:val="22"/>
          <w:szCs w:val="22"/>
          <w:lang w:val="es-MX"/>
        </w:rPr>
        <w:t xml:space="preserve"> por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un valor de $387.1 millones</w:t>
      </w:r>
      <w:r w:rsidR="00922339">
        <w:rPr>
          <w:rFonts w:ascii="Museo Sans 300" w:hAnsi="Museo Sans 300" w:cstheme="minorHAnsi"/>
          <w:sz w:val="22"/>
          <w:szCs w:val="22"/>
          <w:lang w:val="es-MX"/>
        </w:rPr>
        <w:t xml:space="preserve">. 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Por su parte, las amortizaciones efectuadas a bonos y préstamos de mediano y largo plazo ascendieron a $384.0 millones. </w:t>
      </w:r>
    </w:p>
    <w:p w14:paraId="2A7E5D30" w14:textId="77777777" w:rsidR="00DB2814" w:rsidRPr="0001362C" w:rsidRDefault="00DB2814" w:rsidP="00441AD3">
      <w:pPr>
        <w:rPr>
          <w:rFonts w:ascii="Museo Sans 300" w:hAnsi="Museo Sans 300" w:cstheme="minorHAnsi"/>
          <w:sz w:val="22"/>
          <w:szCs w:val="22"/>
          <w:lang w:val="es-MX"/>
        </w:rPr>
      </w:pPr>
    </w:p>
    <w:p w14:paraId="4CC9CE0F" w14:textId="1B1CFD22" w:rsidR="00DB2814" w:rsidRPr="0001362C" w:rsidRDefault="00DB2814" w:rsidP="001F4115">
      <w:pPr>
        <w:spacing w:after="240"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sz w:val="22"/>
          <w:szCs w:val="22"/>
          <w:lang w:val="es-MX"/>
        </w:rPr>
        <w:t>El pago de intereses ascendió a $431.5 millones, de los cuales $28.0 millones corresponden a deuda de corto plazo y $344.1 millones corresponden a deuda de mediano y largo plazo que incluye $219.5 millones de Bonos internos y externos y $32.5 millones</w:t>
      </w:r>
      <w:r w:rsidR="00B25168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por deuda </w:t>
      </w:r>
      <w:r w:rsidR="00922339">
        <w:rPr>
          <w:rFonts w:ascii="Museo Sans 300" w:hAnsi="Museo Sans 300" w:cstheme="minorHAnsi"/>
          <w:sz w:val="22"/>
          <w:szCs w:val="22"/>
          <w:lang w:val="es-MX"/>
        </w:rPr>
        <w:t>previsional.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</w:t>
      </w:r>
    </w:p>
    <w:p w14:paraId="74F2E432" w14:textId="77777777" w:rsidR="007C00E1" w:rsidRPr="0001362C" w:rsidRDefault="00055C62" w:rsidP="001F4115">
      <w:pPr>
        <w:spacing w:after="240"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bookmarkStart w:id="54" w:name="_Toc411843467"/>
      <w:bookmarkStart w:id="55" w:name="_Toc505951458"/>
      <w:bookmarkStart w:id="56" w:name="_Toc56581221"/>
      <w:bookmarkStart w:id="57" w:name="_Toc169162420"/>
      <w:bookmarkEnd w:id="53"/>
      <w:r w:rsidRPr="0001362C">
        <w:rPr>
          <w:rFonts w:ascii="Museo Sans 300" w:hAnsi="Museo Sans 300" w:cstheme="minorHAnsi"/>
          <w:sz w:val="22"/>
          <w:szCs w:val="22"/>
          <w:lang w:val="es-MX"/>
        </w:rPr>
        <w:br w:type="page"/>
      </w:r>
    </w:p>
    <w:p w14:paraId="25294EB2" w14:textId="74D23CEA" w:rsidR="006E73AF" w:rsidRPr="0001362C" w:rsidRDefault="006E73AF" w:rsidP="007C00E1">
      <w:pPr>
        <w:pStyle w:val="Ttulo2"/>
        <w:spacing w:line="480" w:lineRule="auto"/>
        <w:rPr>
          <w:rFonts w:ascii="Museo Sans 300" w:hAnsi="Museo Sans 300" w:cstheme="minorHAnsi"/>
          <w:szCs w:val="22"/>
          <w:lang w:val="es-MX"/>
        </w:rPr>
      </w:pPr>
      <w:bookmarkStart w:id="58" w:name="_Toc205889711"/>
      <w:r w:rsidRPr="0001362C">
        <w:rPr>
          <w:rFonts w:ascii="Museo Sans 300" w:hAnsi="Museo Sans 300" w:cstheme="minorHAnsi"/>
          <w:szCs w:val="22"/>
          <w:lang w:val="es-MX"/>
        </w:rPr>
        <w:lastRenderedPageBreak/>
        <w:t>4. Resultados</w:t>
      </w:r>
      <w:bookmarkEnd w:id="54"/>
      <w:r w:rsidRPr="0001362C">
        <w:rPr>
          <w:rFonts w:ascii="Museo Sans 300" w:hAnsi="Museo Sans 300" w:cstheme="minorHAnsi"/>
          <w:szCs w:val="22"/>
          <w:lang w:val="es-MX"/>
        </w:rPr>
        <w:t xml:space="preserve"> Globales del SPNF</w:t>
      </w:r>
      <w:bookmarkEnd w:id="55"/>
      <w:bookmarkEnd w:id="56"/>
      <w:r w:rsidR="00A22CDD" w:rsidRPr="0001362C">
        <w:rPr>
          <w:rStyle w:val="Refdenotaalpie"/>
          <w:rFonts w:ascii="Museo Sans 300" w:hAnsi="Museo Sans 300" w:cstheme="minorHAnsi"/>
          <w:szCs w:val="22"/>
          <w:lang w:val="es-MX"/>
        </w:rPr>
        <w:footnoteReference w:id="3"/>
      </w:r>
      <w:bookmarkEnd w:id="58"/>
      <w:r w:rsidRPr="0001362C">
        <w:rPr>
          <w:rFonts w:ascii="Museo Sans 300" w:hAnsi="Museo Sans 300" w:cstheme="minorHAnsi"/>
          <w:szCs w:val="22"/>
          <w:lang w:val="es-MX"/>
        </w:rPr>
        <w:t xml:space="preserve"> </w:t>
      </w:r>
      <w:bookmarkEnd w:id="57"/>
    </w:p>
    <w:p w14:paraId="3CBCD84F" w14:textId="77777777" w:rsidR="006E73AF" w:rsidRPr="0001362C" w:rsidRDefault="006E73AF" w:rsidP="007C00E1">
      <w:pPr>
        <w:pStyle w:val="Ttulo3"/>
        <w:spacing w:line="480" w:lineRule="auto"/>
        <w:rPr>
          <w:rFonts w:ascii="Museo Sans 300" w:hAnsi="Museo Sans 300" w:cstheme="minorHAnsi"/>
          <w:szCs w:val="22"/>
        </w:rPr>
      </w:pPr>
      <w:bookmarkStart w:id="59" w:name="_Toc411843468"/>
      <w:r w:rsidRPr="0001362C">
        <w:rPr>
          <w:rFonts w:ascii="Museo Sans 300" w:hAnsi="Museo Sans 300" w:cstheme="minorHAnsi"/>
          <w:szCs w:val="22"/>
        </w:rPr>
        <w:t xml:space="preserve"> </w:t>
      </w:r>
      <w:bookmarkStart w:id="60" w:name="_Toc411843469"/>
      <w:bookmarkStart w:id="61" w:name="_Toc56581223"/>
      <w:bookmarkStart w:id="62" w:name="_Toc169162421"/>
      <w:bookmarkStart w:id="63" w:name="_Toc205889712"/>
      <w:bookmarkEnd w:id="59"/>
      <w:r w:rsidRPr="0001362C">
        <w:rPr>
          <w:rFonts w:ascii="Museo Sans 300" w:hAnsi="Museo Sans 300" w:cstheme="minorHAnsi"/>
          <w:szCs w:val="22"/>
        </w:rPr>
        <w:t xml:space="preserve">4.1 </w:t>
      </w:r>
      <w:bookmarkEnd w:id="60"/>
      <w:bookmarkEnd w:id="61"/>
      <w:r w:rsidRPr="0001362C">
        <w:rPr>
          <w:rFonts w:ascii="Museo Sans 300" w:hAnsi="Museo Sans 300" w:cstheme="minorHAnsi"/>
          <w:szCs w:val="22"/>
        </w:rPr>
        <w:t>Balance Primario</w:t>
      </w:r>
      <w:bookmarkEnd w:id="62"/>
      <w:bookmarkEnd w:id="63"/>
      <w:r w:rsidRPr="0001362C">
        <w:rPr>
          <w:rFonts w:ascii="Museo Sans 300" w:hAnsi="Museo Sans 300" w:cstheme="minorHAnsi"/>
          <w:szCs w:val="22"/>
        </w:rPr>
        <w:t xml:space="preserve"> </w:t>
      </w:r>
    </w:p>
    <w:p w14:paraId="33C319C7" w14:textId="77777777" w:rsidR="000F2B79" w:rsidRPr="0001362C" w:rsidRDefault="006E73AF" w:rsidP="007C00E1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bookmarkStart w:id="64" w:name="_Hlk128489688"/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El balance primario obtuvo un superávit </w:t>
      </w:r>
      <w:r w:rsidR="003F1D05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primario </w:t>
      </w:r>
      <w:r w:rsidR="00EB223A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con </w:t>
      </w:r>
      <w:r w:rsidR="003F1D05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pensiones 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de $</w:t>
      </w:r>
      <w:r w:rsidR="00EB223A" w:rsidRPr="0001362C">
        <w:rPr>
          <w:rFonts w:ascii="Museo Sans 300" w:hAnsi="Museo Sans 300" w:cstheme="minorHAnsi"/>
          <w:sz w:val="22"/>
          <w:szCs w:val="22"/>
          <w:lang w:val="es-MX"/>
        </w:rPr>
        <w:t>206.7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millones, equivalente a </w:t>
      </w:r>
      <w:r w:rsidR="00EB223A" w:rsidRPr="0001362C">
        <w:rPr>
          <w:rFonts w:ascii="Museo Sans 300" w:hAnsi="Museo Sans 300" w:cstheme="minorHAnsi"/>
          <w:sz w:val="22"/>
          <w:szCs w:val="22"/>
          <w:lang w:val="es-MX"/>
        </w:rPr>
        <w:t>0</w:t>
      </w:r>
      <w:r w:rsidR="00105088" w:rsidRPr="0001362C">
        <w:rPr>
          <w:rFonts w:ascii="Museo Sans 300" w:hAnsi="Museo Sans 300" w:cstheme="minorHAnsi"/>
          <w:sz w:val="22"/>
          <w:szCs w:val="22"/>
          <w:lang w:val="es-MX"/>
        </w:rPr>
        <w:t>.6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% del PIB, </w:t>
      </w:r>
      <w:r w:rsidR="00105088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resultado </w:t>
      </w:r>
      <w:r w:rsidR="00EB223A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superior en 0.3 puntos 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con respecto al de </w:t>
      </w:r>
      <w:r w:rsidR="00E22524" w:rsidRPr="0001362C">
        <w:rPr>
          <w:rFonts w:ascii="Museo Sans 300" w:hAnsi="Museo Sans 300" w:cstheme="minorHAnsi"/>
          <w:sz w:val="22"/>
          <w:szCs w:val="22"/>
          <w:lang w:val="es-MX"/>
        </w:rPr>
        <w:t>marzo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202</w:t>
      </w:r>
      <w:r w:rsidR="00E22524" w:rsidRPr="0001362C">
        <w:rPr>
          <w:rFonts w:ascii="Museo Sans 300" w:hAnsi="Museo Sans 300" w:cstheme="minorHAnsi"/>
          <w:sz w:val="22"/>
          <w:szCs w:val="22"/>
          <w:lang w:val="es-MX"/>
        </w:rPr>
        <w:t>4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. </w:t>
      </w:r>
      <w:bookmarkEnd w:id="64"/>
    </w:p>
    <w:p w14:paraId="5EC0C148" w14:textId="77777777" w:rsidR="000F2B79" w:rsidRPr="0001362C" w:rsidRDefault="000F2B79" w:rsidP="00E61B3F">
      <w:pPr>
        <w:spacing w:line="276" w:lineRule="auto"/>
        <w:jc w:val="center"/>
        <w:rPr>
          <w:rFonts w:ascii="Museo Sans 300" w:hAnsi="Museo Sans 300" w:cstheme="minorHAnsi"/>
          <w:sz w:val="22"/>
          <w:szCs w:val="22"/>
          <w:lang w:val="es-MX"/>
        </w:rPr>
      </w:pPr>
    </w:p>
    <w:p w14:paraId="23C3C6C4" w14:textId="77777777" w:rsidR="006E73AF" w:rsidRPr="0001362C" w:rsidRDefault="006E73AF" w:rsidP="00055C62">
      <w:pPr>
        <w:spacing w:after="240"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Gráfico 8 Balance Primario del SPNF </w:t>
      </w:r>
      <w:r w:rsidR="00724E84" w:rsidRPr="0001362C">
        <w:rPr>
          <w:rFonts w:ascii="Museo Sans 300" w:hAnsi="Museo Sans 300" w:cstheme="minorHAnsi"/>
          <w:i/>
          <w:sz w:val="22"/>
          <w:szCs w:val="22"/>
          <w:lang w:val="es-MX"/>
        </w:rPr>
        <w:t>a marzo</w:t>
      </w: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 20</w:t>
      </w:r>
      <w:r w:rsidR="00884742"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20 </w:t>
      </w: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>-202</w:t>
      </w:r>
      <w:r w:rsidR="004F2D9F" w:rsidRPr="0001362C">
        <w:rPr>
          <w:rFonts w:ascii="Museo Sans 300" w:hAnsi="Museo Sans 300" w:cstheme="minorHAnsi"/>
          <w:i/>
          <w:sz w:val="22"/>
          <w:szCs w:val="22"/>
          <w:lang w:val="es-MX"/>
        </w:rPr>
        <w:t>5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</w:t>
      </w:r>
    </w:p>
    <w:p w14:paraId="28AD1E5A" w14:textId="59CC1D47" w:rsidR="006E73AF" w:rsidRPr="0001362C" w:rsidRDefault="00942843" w:rsidP="00E61B3F">
      <w:pPr>
        <w:spacing w:line="276" w:lineRule="auto"/>
        <w:jc w:val="center"/>
        <w:rPr>
          <w:rFonts w:ascii="Museo Sans 300" w:hAnsi="Museo Sans 300" w:cstheme="minorHAnsi"/>
          <w:color w:val="FF0000"/>
          <w:sz w:val="22"/>
          <w:szCs w:val="22"/>
          <w:lang w:val="es-MX"/>
        </w:rPr>
      </w:pPr>
      <w:r w:rsidRPr="0001362C">
        <w:rPr>
          <w:rFonts w:ascii="Museo Sans 300" w:hAnsi="Museo Sans 300"/>
          <w:noProof/>
          <w:sz w:val="22"/>
          <w:szCs w:val="22"/>
        </w:rPr>
        <w:drawing>
          <wp:inline distT="0" distB="0" distL="0" distR="0" wp14:anchorId="068C25A8" wp14:editId="498D50FB">
            <wp:extent cx="5486400" cy="320040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6E73AF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 </w:t>
      </w:r>
    </w:p>
    <w:p w14:paraId="0B3C3633" w14:textId="77777777" w:rsidR="00806290" w:rsidRPr="00806290" w:rsidRDefault="00806290" w:rsidP="00806290">
      <w:pPr>
        <w:pStyle w:val="Ttulo3"/>
        <w:spacing w:line="480" w:lineRule="auto"/>
        <w:rPr>
          <w:rFonts w:ascii="Museo Sans 300" w:hAnsi="Museo Sans 300" w:cstheme="minorHAnsi"/>
          <w:color w:val="auto"/>
          <w:szCs w:val="22"/>
          <w:lang w:val="es-MX"/>
        </w:rPr>
      </w:pPr>
      <w:r w:rsidRPr="00806290">
        <w:rPr>
          <w:rFonts w:ascii="Museo Sans 300" w:hAnsi="Museo Sans 300" w:cstheme="minorHAnsi"/>
          <w:iCs/>
          <w:color w:val="auto"/>
          <w:sz w:val="18"/>
          <w:szCs w:val="18"/>
          <w:lang w:val="es-SV"/>
        </w:rPr>
        <w:t>Fuente: Ministerio de Hacienda</w:t>
      </w:r>
    </w:p>
    <w:p w14:paraId="147231AC" w14:textId="77777777" w:rsidR="006E73AF" w:rsidRPr="0001362C" w:rsidRDefault="006E73AF" w:rsidP="00806290">
      <w:pPr>
        <w:spacing w:line="276" w:lineRule="auto"/>
        <w:rPr>
          <w:rFonts w:ascii="Museo Sans 300" w:hAnsi="Museo Sans 300" w:cstheme="minorHAnsi"/>
          <w:sz w:val="22"/>
          <w:szCs w:val="22"/>
          <w:lang w:val="es-MX"/>
        </w:rPr>
      </w:pPr>
    </w:p>
    <w:p w14:paraId="7BE85831" w14:textId="77777777" w:rsidR="006E73AF" w:rsidRPr="0001362C" w:rsidRDefault="006E73AF" w:rsidP="007C00E1">
      <w:pPr>
        <w:pStyle w:val="Ttulo3"/>
        <w:spacing w:line="480" w:lineRule="auto"/>
        <w:rPr>
          <w:rFonts w:ascii="Museo Sans 300" w:hAnsi="Museo Sans 300" w:cstheme="minorHAnsi"/>
          <w:szCs w:val="22"/>
        </w:rPr>
      </w:pPr>
      <w:bookmarkStart w:id="65" w:name="_Toc56581224"/>
      <w:bookmarkStart w:id="66" w:name="_Toc169162422"/>
      <w:bookmarkStart w:id="67" w:name="_Toc205889713"/>
      <w:bookmarkStart w:id="68" w:name="_Toc411843470"/>
      <w:r w:rsidRPr="0001362C">
        <w:rPr>
          <w:rFonts w:ascii="Museo Sans 300" w:hAnsi="Museo Sans 300" w:cstheme="minorHAnsi"/>
          <w:szCs w:val="22"/>
        </w:rPr>
        <w:t>4.2 Balance global</w:t>
      </w:r>
      <w:bookmarkEnd w:id="65"/>
      <w:bookmarkEnd w:id="66"/>
      <w:bookmarkEnd w:id="67"/>
      <w:r w:rsidRPr="0001362C">
        <w:rPr>
          <w:rFonts w:ascii="Museo Sans 300" w:hAnsi="Museo Sans 300" w:cstheme="minorHAnsi"/>
          <w:szCs w:val="22"/>
        </w:rPr>
        <w:t xml:space="preserve"> </w:t>
      </w:r>
    </w:p>
    <w:p w14:paraId="1B8C3F4C" w14:textId="77777777" w:rsidR="006E73AF" w:rsidRPr="0001362C" w:rsidRDefault="006E73AF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  <w:bookmarkStart w:id="69" w:name="_Hlk128489714"/>
      <w:bookmarkEnd w:id="68"/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El Balance Fiscal del SPNF consolidado al mes de </w:t>
      </w:r>
      <w:r w:rsidR="00E22524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marzo 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de 202</w:t>
      </w:r>
      <w:r w:rsidR="000614F9" w:rsidRPr="0001362C">
        <w:rPr>
          <w:rFonts w:ascii="Museo Sans 300" w:hAnsi="Museo Sans 300" w:cstheme="minorHAnsi"/>
          <w:sz w:val="22"/>
          <w:szCs w:val="22"/>
          <w:lang w:val="es-MX"/>
        </w:rPr>
        <w:t>5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, presenta un déficit </w:t>
      </w:r>
      <w:r w:rsidR="00EB223A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con </w:t>
      </w:r>
      <w:r w:rsidR="003F1D05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pensiones 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de $</w:t>
      </w:r>
      <w:r w:rsidR="00EB223A" w:rsidRPr="0001362C">
        <w:rPr>
          <w:rFonts w:ascii="Museo Sans 300" w:hAnsi="Museo Sans 300" w:cstheme="minorHAnsi"/>
          <w:sz w:val="22"/>
          <w:szCs w:val="22"/>
          <w:lang w:val="es-MX"/>
        </w:rPr>
        <w:t>224.7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millones, m</w:t>
      </w:r>
      <w:r w:rsidR="00EB223A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enor 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en $</w:t>
      </w:r>
      <w:r w:rsidR="00105088" w:rsidRPr="0001362C">
        <w:rPr>
          <w:rFonts w:ascii="Museo Sans 300" w:hAnsi="Museo Sans 300" w:cstheme="minorHAnsi"/>
          <w:sz w:val="22"/>
          <w:szCs w:val="22"/>
          <w:lang w:val="es-MX"/>
        </w:rPr>
        <w:t>1</w:t>
      </w:r>
      <w:r w:rsidR="00EB223A" w:rsidRPr="0001362C">
        <w:rPr>
          <w:rFonts w:ascii="Museo Sans 300" w:hAnsi="Museo Sans 300" w:cstheme="minorHAnsi"/>
          <w:sz w:val="22"/>
          <w:szCs w:val="22"/>
          <w:lang w:val="es-MX"/>
        </w:rPr>
        <w:t>30.8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millones a los resultados del mes de </w:t>
      </w:r>
      <w:r w:rsidR="000614F9" w:rsidRPr="0001362C">
        <w:rPr>
          <w:rFonts w:ascii="Museo Sans 300" w:hAnsi="Museo Sans 300" w:cstheme="minorHAnsi"/>
          <w:sz w:val="22"/>
          <w:szCs w:val="22"/>
          <w:lang w:val="es-MX"/>
        </w:rPr>
        <w:t>marzo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de 202</w:t>
      </w:r>
      <w:r w:rsidR="000614F9" w:rsidRPr="0001362C">
        <w:rPr>
          <w:rFonts w:ascii="Museo Sans 300" w:hAnsi="Museo Sans 300" w:cstheme="minorHAnsi"/>
          <w:sz w:val="22"/>
          <w:szCs w:val="22"/>
          <w:lang w:val="es-MX"/>
        </w:rPr>
        <w:t>4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. En términos del PIB fue equivalente al -</w:t>
      </w:r>
      <w:r w:rsidR="00EB223A" w:rsidRPr="0001362C">
        <w:rPr>
          <w:rFonts w:ascii="Museo Sans 300" w:hAnsi="Museo Sans 300" w:cstheme="minorHAnsi"/>
          <w:sz w:val="22"/>
          <w:szCs w:val="22"/>
          <w:lang w:val="es-MX"/>
        </w:rPr>
        <w:t>0.6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% del PIB, siendo m</w:t>
      </w:r>
      <w:r w:rsidR="00EB223A" w:rsidRPr="0001362C">
        <w:rPr>
          <w:rFonts w:ascii="Museo Sans 300" w:hAnsi="Museo Sans 300" w:cstheme="minorHAnsi"/>
          <w:sz w:val="22"/>
          <w:szCs w:val="22"/>
          <w:lang w:val="es-MX"/>
        </w:rPr>
        <w:t>enor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en 0.</w:t>
      </w:r>
      <w:r w:rsidR="00105088" w:rsidRPr="0001362C">
        <w:rPr>
          <w:rFonts w:ascii="Museo Sans 300" w:hAnsi="Museo Sans 300" w:cstheme="minorHAnsi"/>
          <w:sz w:val="22"/>
          <w:szCs w:val="22"/>
          <w:lang w:val="es-MX"/>
        </w:rPr>
        <w:t>4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puntos porcentuales en relación a</w:t>
      </w:r>
      <w:r w:rsidR="00EB223A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marzo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202</w:t>
      </w:r>
      <w:r w:rsidR="00E22524" w:rsidRPr="0001362C">
        <w:rPr>
          <w:rFonts w:ascii="Museo Sans 300" w:hAnsi="Museo Sans 300" w:cstheme="minorHAnsi"/>
          <w:sz w:val="22"/>
          <w:szCs w:val="22"/>
          <w:lang w:val="es-MX"/>
        </w:rPr>
        <w:t>4</w:t>
      </w:r>
      <w:r w:rsidRPr="0001362C">
        <w:rPr>
          <w:rFonts w:ascii="Museo Sans 300" w:hAnsi="Museo Sans 300" w:cstheme="minorHAnsi"/>
          <w:sz w:val="22"/>
          <w:szCs w:val="22"/>
          <w:lang w:val="es-MX"/>
        </w:rPr>
        <w:t>.</w:t>
      </w:r>
      <w:r w:rsidR="00055C62" w:rsidRPr="0001362C">
        <w:rPr>
          <w:rFonts w:ascii="Museo Sans 300" w:hAnsi="Museo Sans 300" w:cstheme="minorHAnsi"/>
          <w:sz w:val="22"/>
          <w:szCs w:val="22"/>
          <w:lang w:val="es-MX"/>
        </w:rPr>
        <w:br w:type="page"/>
      </w:r>
    </w:p>
    <w:bookmarkEnd w:id="69"/>
    <w:p w14:paraId="6E6504DF" w14:textId="77777777" w:rsidR="00CB5E41" w:rsidRPr="0001362C" w:rsidRDefault="00105884" w:rsidP="00055C62">
      <w:pPr>
        <w:spacing w:after="240" w:line="276" w:lineRule="auto"/>
        <w:jc w:val="center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lastRenderedPageBreak/>
        <w:t xml:space="preserve">Gráfico 9: Balance Global del SPNF </w:t>
      </w:r>
      <w:r w:rsidR="00724E84" w:rsidRPr="0001362C">
        <w:rPr>
          <w:rFonts w:ascii="Museo Sans 300" w:hAnsi="Museo Sans 300" w:cstheme="minorHAnsi"/>
          <w:i/>
          <w:sz w:val="22"/>
          <w:szCs w:val="22"/>
          <w:lang w:val="es-MX"/>
        </w:rPr>
        <w:t>a marzo</w:t>
      </w: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 20</w:t>
      </w:r>
      <w:r w:rsidR="00884742" w:rsidRPr="0001362C">
        <w:rPr>
          <w:rFonts w:ascii="Museo Sans 300" w:hAnsi="Museo Sans 300" w:cstheme="minorHAnsi"/>
          <w:i/>
          <w:sz w:val="22"/>
          <w:szCs w:val="22"/>
          <w:lang w:val="es-MX"/>
        </w:rPr>
        <w:t>20</w:t>
      </w: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 -202</w:t>
      </w:r>
      <w:r w:rsidR="000614F9" w:rsidRPr="0001362C">
        <w:rPr>
          <w:rFonts w:ascii="Museo Sans 300" w:hAnsi="Museo Sans 300" w:cstheme="minorHAnsi"/>
          <w:i/>
          <w:sz w:val="22"/>
          <w:szCs w:val="22"/>
          <w:lang w:val="es-MX"/>
        </w:rPr>
        <w:t>5</w:t>
      </w: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 </w:t>
      </w:r>
    </w:p>
    <w:p w14:paraId="3478DD0B" w14:textId="0B19B002" w:rsidR="006E73AF" w:rsidRPr="0001362C" w:rsidRDefault="00942843" w:rsidP="00E61B3F">
      <w:pPr>
        <w:spacing w:line="276" w:lineRule="auto"/>
        <w:jc w:val="center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/>
          <w:noProof/>
          <w:sz w:val="22"/>
          <w:szCs w:val="22"/>
        </w:rPr>
        <w:drawing>
          <wp:inline distT="0" distB="0" distL="0" distR="0" wp14:anchorId="7381F705" wp14:editId="5BEE60CB">
            <wp:extent cx="5486400" cy="3200400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6E73AF" w:rsidRPr="0001362C">
        <w:rPr>
          <w:rFonts w:ascii="Museo Sans 300" w:hAnsi="Museo Sans 300" w:cstheme="minorHAnsi"/>
          <w:sz w:val="22"/>
          <w:szCs w:val="22"/>
          <w:lang w:val="es-MX"/>
        </w:rPr>
        <w:t xml:space="preserve"> </w:t>
      </w:r>
    </w:p>
    <w:p w14:paraId="1BC4B68E" w14:textId="77777777" w:rsidR="006E73AF" w:rsidRPr="0001362C" w:rsidRDefault="006E73AF" w:rsidP="00E61B3F">
      <w:pPr>
        <w:spacing w:line="276" w:lineRule="auto"/>
        <w:jc w:val="center"/>
        <w:rPr>
          <w:rFonts w:ascii="Museo Sans 300" w:hAnsi="Museo Sans 300" w:cstheme="minorHAnsi"/>
          <w:sz w:val="22"/>
          <w:szCs w:val="22"/>
          <w:lang w:val="es-MX"/>
        </w:rPr>
      </w:pPr>
    </w:p>
    <w:p w14:paraId="709A63E3" w14:textId="77777777" w:rsidR="00806290" w:rsidRPr="00806290" w:rsidRDefault="00806290" w:rsidP="00806290">
      <w:pPr>
        <w:pStyle w:val="Ttulo3"/>
        <w:spacing w:line="480" w:lineRule="auto"/>
        <w:rPr>
          <w:rFonts w:ascii="Museo Sans 300" w:hAnsi="Museo Sans 300" w:cstheme="minorHAnsi"/>
          <w:color w:val="auto"/>
          <w:szCs w:val="22"/>
          <w:lang w:val="es-MX"/>
        </w:rPr>
      </w:pPr>
      <w:r w:rsidRPr="00806290">
        <w:rPr>
          <w:rFonts w:ascii="Museo Sans 300" w:hAnsi="Museo Sans 300" w:cstheme="minorHAnsi"/>
          <w:iCs/>
          <w:color w:val="auto"/>
          <w:sz w:val="18"/>
          <w:szCs w:val="18"/>
          <w:lang w:val="es-SV"/>
        </w:rPr>
        <w:t>Fuente: Ministerio de Hacienda</w:t>
      </w:r>
    </w:p>
    <w:p w14:paraId="6DF6E915" w14:textId="77777777" w:rsidR="00806290" w:rsidRPr="0001362C" w:rsidRDefault="00806290" w:rsidP="00806290">
      <w:pPr>
        <w:spacing w:line="276" w:lineRule="auto"/>
        <w:rPr>
          <w:rFonts w:ascii="Museo Sans 300" w:hAnsi="Museo Sans 300" w:cstheme="minorHAnsi"/>
          <w:sz w:val="22"/>
          <w:szCs w:val="22"/>
          <w:lang w:val="es-MX"/>
        </w:rPr>
      </w:pPr>
    </w:p>
    <w:p w14:paraId="649C2AF8" w14:textId="77777777" w:rsidR="006E73AF" w:rsidRPr="0001362C" w:rsidRDefault="006E73AF" w:rsidP="00E61B3F">
      <w:pPr>
        <w:spacing w:line="276" w:lineRule="auto"/>
        <w:jc w:val="both"/>
        <w:rPr>
          <w:rFonts w:ascii="Museo Sans 300" w:hAnsi="Museo Sans 300" w:cstheme="minorHAnsi"/>
          <w:b/>
          <w:sz w:val="22"/>
          <w:szCs w:val="22"/>
          <w:lang w:val="es-MX"/>
        </w:rPr>
      </w:pPr>
      <w:bookmarkStart w:id="70" w:name="_GoBack"/>
      <w:bookmarkEnd w:id="70"/>
    </w:p>
    <w:p w14:paraId="56294D93" w14:textId="77777777" w:rsidR="00065346" w:rsidRPr="0001362C" w:rsidRDefault="00065346" w:rsidP="007C00E1">
      <w:pPr>
        <w:pStyle w:val="Ttulo2"/>
        <w:spacing w:line="480" w:lineRule="auto"/>
        <w:rPr>
          <w:rFonts w:ascii="Museo Sans 300" w:hAnsi="Museo Sans 300" w:cstheme="minorHAnsi"/>
          <w:szCs w:val="22"/>
          <w:lang w:val="es-MX"/>
        </w:rPr>
      </w:pPr>
    </w:p>
    <w:p w14:paraId="0991E64F" w14:textId="77777777" w:rsidR="00065346" w:rsidRPr="0001362C" w:rsidRDefault="00065346" w:rsidP="007C00E1">
      <w:pPr>
        <w:pStyle w:val="Ttulo2"/>
        <w:spacing w:line="480" w:lineRule="auto"/>
        <w:rPr>
          <w:rFonts w:ascii="Museo Sans 300" w:hAnsi="Museo Sans 300" w:cstheme="minorHAnsi"/>
          <w:szCs w:val="22"/>
          <w:lang w:val="es-MX"/>
        </w:rPr>
      </w:pPr>
    </w:p>
    <w:p w14:paraId="3D3D1960" w14:textId="77777777" w:rsidR="00065346" w:rsidRPr="0001362C" w:rsidRDefault="00065346" w:rsidP="007C00E1">
      <w:pPr>
        <w:pStyle w:val="Ttulo2"/>
        <w:spacing w:line="480" w:lineRule="auto"/>
        <w:rPr>
          <w:rFonts w:ascii="Museo Sans 300" w:hAnsi="Museo Sans 300" w:cstheme="minorHAnsi"/>
          <w:szCs w:val="22"/>
          <w:lang w:val="es-MX"/>
        </w:rPr>
      </w:pPr>
    </w:p>
    <w:p w14:paraId="6C0345F3" w14:textId="77777777" w:rsidR="007A1A06" w:rsidRPr="0001362C" w:rsidRDefault="007A1A06" w:rsidP="007A1A06">
      <w:pPr>
        <w:rPr>
          <w:rFonts w:ascii="Museo Sans 300" w:hAnsi="Museo Sans 300" w:cstheme="minorHAnsi"/>
          <w:sz w:val="22"/>
          <w:szCs w:val="22"/>
          <w:lang w:val="es-MX"/>
        </w:rPr>
      </w:pPr>
    </w:p>
    <w:p w14:paraId="549F5F75" w14:textId="77777777" w:rsidR="007A1A06" w:rsidRPr="0001362C" w:rsidRDefault="007A1A06" w:rsidP="007A1A06">
      <w:pPr>
        <w:rPr>
          <w:rFonts w:ascii="Museo Sans 300" w:hAnsi="Museo Sans 300" w:cstheme="minorHAnsi"/>
          <w:sz w:val="22"/>
          <w:szCs w:val="22"/>
          <w:lang w:val="es-MX"/>
        </w:rPr>
      </w:pPr>
    </w:p>
    <w:p w14:paraId="011DDFCD" w14:textId="77777777" w:rsidR="007A1A06" w:rsidRPr="0001362C" w:rsidRDefault="007A1A06" w:rsidP="007A1A06">
      <w:pPr>
        <w:rPr>
          <w:rFonts w:ascii="Museo Sans 300" w:hAnsi="Museo Sans 300" w:cstheme="minorHAnsi"/>
          <w:sz w:val="22"/>
          <w:szCs w:val="22"/>
          <w:lang w:val="es-MX"/>
        </w:rPr>
      </w:pPr>
    </w:p>
    <w:p w14:paraId="721F7C35" w14:textId="77777777" w:rsidR="007A1A06" w:rsidRPr="0001362C" w:rsidRDefault="007A1A06" w:rsidP="007A1A06">
      <w:pPr>
        <w:rPr>
          <w:rFonts w:ascii="Museo Sans 300" w:hAnsi="Museo Sans 300" w:cstheme="minorHAnsi"/>
          <w:sz w:val="22"/>
          <w:szCs w:val="22"/>
          <w:lang w:val="es-MX"/>
        </w:rPr>
      </w:pPr>
    </w:p>
    <w:p w14:paraId="3CECFB0F" w14:textId="77777777" w:rsidR="007A1A06" w:rsidRPr="0001362C" w:rsidRDefault="007A1A06" w:rsidP="007A1A06">
      <w:pPr>
        <w:rPr>
          <w:rFonts w:ascii="Museo Sans 300" w:hAnsi="Museo Sans 300" w:cstheme="minorHAnsi"/>
          <w:sz w:val="22"/>
          <w:szCs w:val="22"/>
          <w:lang w:val="es-MX"/>
        </w:rPr>
      </w:pPr>
    </w:p>
    <w:p w14:paraId="6A6852ED" w14:textId="77777777" w:rsidR="007A1A06" w:rsidRPr="0001362C" w:rsidRDefault="007A1A06" w:rsidP="007A1A06">
      <w:pPr>
        <w:rPr>
          <w:rFonts w:ascii="Museo Sans 300" w:hAnsi="Museo Sans 300" w:cstheme="minorHAnsi"/>
          <w:sz w:val="22"/>
          <w:szCs w:val="22"/>
          <w:lang w:val="es-MX"/>
        </w:rPr>
      </w:pPr>
    </w:p>
    <w:p w14:paraId="3F423E31" w14:textId="77777777" w:rsidR="00B25168" w:rsidRPr="0001362C" w:rsidRDefault="00B25168">
      <w:pPr>
        <w:spacing w:after="160" w:line="259" w:lineRule="auto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sz w:val="22"/>
          <w:szCs w:val="22"/>
          <w:lang w:val="es-MX"/>
        </w:rPr>
        <w:br w:type="page"/>
      </w:r>
    </w:p>
    <w:p w14:paraId="6B58AD72" w14:textId="77777777" w:rsidR="006E73AF" w:rsidRPr="0001362C" w:rsidRDefault="006E73AF" w:rsidP="007C00E1">
      <w:pPr>
        <w:pStyle w:val="Ttulo2"/>
        <w:spacing w:line="480" w:lineRule="auto"/>
        <w:rPr>
          <w:rFonts w:ascii="Museo Sans 300" w:hAnsi="Museo Sans 300" w:cstheme="minorHAnsi"/>
          <w:i/>
          <w:szCs w:val="22"/>
          <w:lang w:val="es-MX"/>
        </w:rPr>
      </w:pPr>
      <w:bookmarkStart w:id="71" w:name="_Toc205889714"/>
      <w:r w:rsidRPr="0001362C">
        <w:rPr>
          <w:rFonts w:ascii="Museo Sans 300" w:hAnsi="Museo Sans 300" w:cstheme="minorHAnsi"/>
          <w:szCs w:val="22"/>
          <w:lang w:val="es-MX"/>
        </w:rPr>
        <w:lastRenderedPageBreak/>
        <w:t xml:space="preserve">5. </w:t>
      </w:r>
      <w:r w:rsidRPr="0001362C">
        <w:rPr>
          <w:rFonts w:ascii="Museo Sans 300" w:hAnsi="Museo Sans 300" w:cstheme="minorHAnsi"/>
          <w:szCs w:val="22"/>
        </w:rPr>
        <w:t>A</w:t>
      </w:r>
      <w:r w:rsidR="006E53FC" w:rsidRPr="0001362C">
        <w:rPr>
          <w:rFonts w:ascii="Museo Sans 300" w:hAnsi="Museo Sans 300" w:cstheme="minorHAnsi"/>
          <w:szCs w:val="22"/>
        </w:rPr>
        <w:t>nexos.</w:t>
      </w:r>
      <w:bookmarkEnd w:id="71"/>
    </w:p>
    <w:p w14:paraId="4402F1D7" w14:textId="77777777" w:rsidR="00065346" w:rsidRPr="0001362C" w:rsidRDefault="00065346" w:rsidP="00055C62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40048FA9" w14:textId="77777777" w:rsidR="00055C62" w:rsidRPr="0001362C" w:rsidRDefault="006E73AF" w:rsidP="00055C62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>Anexo 1:</w:t>
      </w:r>
    </w:p>
    <w:p w14:paraId="0A0815F9" w14:textId="77777777" w:rsidR="006E73AF" w:rsidRPr="0001362C" w:rsidRDefault="006E73AF" w:rsidP="00055C62">
      <w:pPr>
        <w:spacing w:line="276" w:lineRule="auto"/>
        <w:jc w:val="center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 Ingresos Totales del Sector Público No Financiero </w:t>
      </w:r>
      <w:r w:rsidR="00724E84" w:rsidRPr="0001362C">
        <w:rPr>
          <w:rFonts w:ascii="Museo Sans 300" w:hAnsi="Museo Sans 300" w:cstheme="minorHAnsi"/>
          <w:i/>
          <w:sz w:val="22"/>
          <w:szCs w:val="22"/>
          <w:lang w:val="es-MX"/>
        </w:rPr>
        <w:t>a marzo</w:t>
      </w: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 202</w:t>
      </w:r>
      <w:r w:rsidR="000614F9" w:rsidRPr="0001362C">
        <w:rPr>
          <w:rFonts w:ascii="Museo Sans 300" w:hAnsi="Museo Sans 300" w:cstheme="minorHAnsi"/>
          <w:i/>
          <w:sz w:val="22"/>
          <w:szCs w:val="22"/>
          <w:lang w:val="es-MX"/>
        </w:rPr>
        <w:t>5</w:t>
      </w: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>-202</w:t>
      </w:r>
      <w:r w:rsidR="000614F9" w:rsidRPr="0001362C">
        <w:rPr>
          <w:rFonts w:ascii="Museo Sans 300" w:hAnsi="Museo Sans 300" w:cstheme="minorHAnsi"/>
          <w:i/>
          <w:sz w:val="22"/>
          <w:szCs w:val="22"/>
          <w:lang w:val="es-MX"/>
        </w:rPr>
        <w:t>4</w:t>
      </w:r>
    </w:p>
    <w:p w14:paraId="733FA12F" w14:textId="77777777" w:rsidR="006E73AF" w:rsidRPr="0001362C" w:rsidRDefault="006E73AF" w:rsidP="00055C62">
      <w:pPr>
        <w:spacing w:after="240"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>(Millones $)</w:t>
      </w:r>
    </w:p>
    <w:p w14:paraId="6B177CF6" w14:textId="77777777" w:rsidR="006E73AF" w:rsidRPr="0001362C" w:rsidRDefault="00CD1E50" w:rsidP="00E61B3F">
      <w:pPr>
        <w:spacing w:line="276" w:lineRule="auto"/>
        <w:jc w:val="center"/>
        <w:rPr>
          <w:rFonts w:ascii="Museo Sans 300" w:hAnsi="Museo Sans 300" w:cstheme="minorHAnsi"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noProof/>
          <w:sz w:val="22"/>
          <w:szCs w:val="22"/>
        </w:rPr>
        <w:drawing>
          <wp:inline distT="0" distB="0" distL="0" distR="0" wp14:anchorId="15FB56E8" wp14:editId="6641CD35">
            <wp:extent cx="5720297" cy="5140411"/>
            <wp:effectExtent l="0" t="0" r="0" b="317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811" cy="51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1D0FD" w14:textId="77777777" w:rsidR="006E73AF" w:rsidRPr="0001362C" w:rsidRDefault="006E73AF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</w:p>
    <w:p w14:paraId="4F5B8234" w14:textId="77777777" w:rsidR="006E73AF" w:rsidRPr="0001362C" w:rsidRDefault="006E73AF" w:rsidP="00E61B3F">
      <w:pPr>
        <w:spacing w:line="276" w:lineRule="auto"/>
        <w:jc w:val="both"/>
        <w:rPr>
          <w:rFonts w:ascii="Museo Sans 300" w:hAnsi="Museo Sans 300" w:cstheme="minorHAnsi"/>
          <w:sz w:val="22"/>
          <w:szCs w:val="22"/>
          <w:lang w:val="es-MX"/>
        </w:rPr>
      </w:pPr>
    </w:p>
    <w:p w14:paraId="049EEE52" w14:textId="77777777" w:rsidR="006E73AF" w:rsidRPr="0001362C" w:rsidRDefault="006E73AF" w:rsidP="00E61B3F">
      <w:pPr>
        <w:spacing w:line="276" w:lineRule="auto"/>
        <w:jc w:val="center"/>
        <w:rPr>
          <w:rFonts w:ascii="Museo Sans 300" w:hAnsi="Museo Sans 300" w:cstheme="minorHAnsi"/>
          <w:b/>
          <w:sz w:val="22"/>
          <w:szCs w:val="22"/>
          <w:lang w:val="es-MX"/>
        </w:rPr>
      </w:pPr>
    </w:p>
    <w:p w14:paraId="602962B4" w14:textId="77777777" w:rsidR="006E73AF" w:rsidRPr="0001362C" w:rsidRDefault="006E73AF" w:rsidP="00E61B3F">
      <w:pPr>
        <w:spacing w:line="276" w:lineRule="auto"/>
        <w:jc w:val="center"/>
        <w:rPr>
          <w:rFonts w:ascii="Museo Sans 300" w:hAnsi="Museo Sans 300" w:cstheme="minorHAnsi"/>
          <w:b/>
          <w:sz w:val="22"/>
          <w:szCs w:val="22"/>
          <w:lang w:val="es-MX"/>
        </w:rPr>
      </w:pPr>
    </w:p>
    <w:p w14:paraId="2EBC85F5" w14:textId="77777777" w:rsidR="006E73AF" w:rsidRPr="0001362C" w:rsidRDefault="006E73AF" w:rsidP="00E61B3F">
      <w:pPr>
        <w:spacing w:line="276" w:lineRule="auto"/>
        <w:jc w:val="center"/>
        <w:rPr>
          <w:rFonts w:ascii="Museo Sans 300" w:hAnsi="Museo Sans 300" w:cstheme="minorHAnsi"/>
          <w:b/>
          <w:sz w:val="22"/>
          <w:szCs w:val="22"/>
          <w:lang w:val="es-MX"/>
        </w:rPr>
      </w:pPr>
    </w:p>
    <w:p w14:paraId="116BD76E" w14:textId="77777777" w:rsidR="00E7062A" w:rsidRPr="0001362C" w:rsidRDefault="00055C62" w:rsidP="00055C62">
      <w:pPr>
        <w:spacing w:line="276" w:lineRule="auto"/>
        <w:jc w:val="center"/>
        <w:rPr>
          <w:rFonts w:ascii="Museo Sans 300" w:hAnsi="Museo Sans 300" w:cstheme="minorHAnsi"/>
          <w:b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b/>
          <w:sz w:val="22"/>
          <w:szCs w:val="22"/>
          <w:lang w:val="es-MX"/>
        </w:rPr>
        <w:br w:type="page"/>
      </w:r>
    </w:p>
    <w:p w14:paraId="71345F1D" w14:textId="77777777" w:rsidR="00CD1E50" w:rsidRPr="0001362C" w:rsidRDefault="00CD1E50" w:rsidP="00CD1E50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lastRenderedPageBreak/>
        <w:t>Anexo 2:</w:t>
      </w:r>
    </w:p>
    <w:p w14:paraId="0131D8AB" w14:textId="77777777" w:rsidR="00CD1E50" w:rsidRPr="0001362C" w:rsidRDefault="00CD1E50" w:rsidP="00CD1E50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>Ejecución del SPNF a marzo 2025 - 2024</w:t>
      </w:r>
    </w:p>
    <w:p w14:paraId="7051D8C8" w14:textId="77777777" w:rsidR="00CD1E50" w:rsidRPr="0001362C" w:rsidRDefault="00CD1E50" w:rsidP="00CD1E50">
      <w:pPr>
        <w:spacing w:after="240"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>(En millones de $)</w:t>
      </w:r>
    </w:p>
    <w:p w14:paraId="0EF6677F" w14:textId="77777777" w:rsidR="00CD1E50" w:rsidRPr="0001362C" w:rsidRDefault="00B92944" w:rsidP="00CD1E50">
      <w:pPr>
        <w:spacing w:after="240"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  <w:r w:rsidRPr="0001362C">
        <w:rPr>
          <w:rFonts w:ascii="Museo Sans 300" w:hAnsi="Museo Sans 300"/>
          <w:noProof/>
          <w:sz w:val="22"/>
          <w:szCs w:val="22"/>
        </w:rPr>
        <w:drawing>
          <wp:inline distT="0" distB="0" distL="0" distR="0" wp14:anchorId="056A5CAC" wp14:editId="5C71F3F8">
            <wp:extent cx="5313188" cy="5609389"/>
            <wp:effectExtent l="0" t="0" r="1905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62" cy="561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D354D" w14:textId="77777777" w:rsidR="00CD1E50" w:rsidRPr="0001362C" w:rsidRDefault="00CD1E50" w:rsidP="00055C62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30228D5C" w14:textId="77777777" w:rsidR="00CD1E50" w:rsidRPr="0001362C" w:rsidRDefault="00CD1E50" w:rsidP="00055C62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3895D9B7" w14:textId="77777777" w:rsidR="00CD1E50" w:rsidRPr="0001362C" w:rsidRDefault="00CD1E50" w:rsidP="00055C62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67CE0C68" w14:textId="77777777" w:rsidR="00CD1E50" w:rsidRPr="0001362C" w:rsidRDefault="00CD1E50" w:rsidP="00055C62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66BEE432" w14:textId="77777777" w:rsidR="00B92944" w:rsidRPr="0001362C" w:rsidRDefault="00B92944" w:rsidP="00055C62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44453A04" w14:textId="77777777" w:rsidR="00B92944" w:rsidRPr="0001362C" w:rsidRDefault="00B92944" w:rsidP="00055C62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2ECF7BDA" w14:textId="77777777" w:rsidR="00B92944" w:rsidRPr="0001362C" w:rsidRDefault="00B92944" w:rsidP="00055C62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68CF3036" w14:textId="77777777" w:rsidR="00CD1E50" w:rsidRPr="0001362C" w:rsidRDefault="00CD1E50" w:rsidP="00055C62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6F797589" w14:textId="77777777" w:rsidR="00CD1E50" w:rsidRPr="0001362C" w:rsidRDefault="00CD1E50" w:rsidP="00055C62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219EF485" w14:textId="77777777" w:rsidR="00055C62" w:rsidRPr="0001362C" w:rsidRDefault="00105884" w:rsidP="00055C62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lastRenderedPageBreak/>
        <w:t xml:space="preserve">Anexo </w:t>
      </w:r>
      <w:r w:rsidR="00121069" w:rsidRPr="0001362C">
        <w:rPr>
          <w:rFonts w:ascii="Museo Sans 300" w:hAnsi="Museo Sans 300" w:cstheme="minorHAnsi"/>
          <w:i/>
          <w:sz w:val="22"/>
          <w:szCs w:val="22"/>
          <w:lang w:val="es-MX"/>
        </w:rPr>
        <w:t>3</w:t>
      </w:r>
      <w:r w:rsidR="00CD1E50" w:rsidRPr="0001362C">
        <w:rPr>
          <w:rFonts w:ascii="Museo Sans 300" w:hAnsi="Museo Sans 300" w:cstheme="minorHAnsi"/>
          <w:i/>
          <w:sz w:val="22"/>
          <w:szCs w:val="22"/>
          <w:lang w:val="es-MX"/>
        </w:rPr>
        <w:t>:</w:t>
      </w:r>
    </w:p>
    <w:p w14:paraId="6A174D95" w14:textId="77777777" w:rsidR="00105884" w:rsidRPr="0001362C" w:rsidRDefault="00105884" w:rsidP="00055C62">
      <w:pPr>
        <w:spacing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Ejecución del SPNF </w:t>
      </w:r>
      <w:r w:rsidR="00724E84" w:rsidRPr="0001362C">
        <w:rPr>
          <w:rFonts w:ascii="Museo Sans 300" w:hAnsi="Museo Sans 300" w:cstheme="minorHAnsi"/>
          <w:i/>
          <w:sz w:val="22"/>
          <w:szCs w:val="22"/>
          <w:lang w:val="es-MX"/>
        </w:rPr>
        <w:t>a marzo</w:t>
      </w: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 202</w:t>
      </w:r>
      <w:r w:rsidR="000614F9" w:rsidRPr="0001362C">
        <w:rPr>
          <w:rFonts w:ascii="Museo Sans 300" w:hAnsi="Museo Sans 300" w:cstheme="minorHAnsi"/>
          <w:i/>
          <w:sz w:val="22"/>
          <w:szCs w:val="22"/>
          <w:lang w:val="es-MX"/>
        </w:rPr>
        <w:t>5</w:t>
      </w: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 - 202</w:t>
      </w:r>
      <w:r w:rsidR="000614F9" w:rsidRPr="0001362C">
        <w:rPr>
          <w:rFonts w:ascii="Museo Sans 300" w:hAnsi="Museo Sans 300" w:cstheme="minorHAnsi"/>
          <w:i/>
          <w:sz w:val="22"/>
          <w:szCs w:val="22"/>
          <w:lang w:val="es-MX"/>
        </w:rPr>
        <w:t>4</w:t>
      </w:r>
    </w:p>
    <w:p w14:paraId="1B0840F8" w14:textId="77777777" w:rsidR="00105884" w:rsidRPr="0001362C" w:rsidRDefault="00105884" w:rsidP="00055C62">
      <w:pPr>
        <w:spacing w:after="240"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>(En % del PIB)</w:t>
      </w:r>
    </w:p>
    <w:p w14:paraId="26B13CE4" w14:textId="77777777" w:rsidR="00CD1E50" w:rsidRPr="0001362C" w:rsidRDefault="00B92944" w:rsidP="00055C62">
      <w:pPr>
        <w:spacing w:after="240"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  <w:r w:rsidRPr="0001362C">
        <w:rPr>
          <w:rFonts w:ascii="Museo Sans 300" w:hAnsi="Museo Sans 300"/>
          <w:noProof/>
          <w:sz w:val="22"/>
          <w:szCs w:val="22"/>
        </w:rPr>
        <w:drawing>
          <wp:inline distT="0" distB="0" distL="0" distR="0" wp14:anchorId="1AA967DC" wp14:editId="70021293">
            <wp:extent cx="5614670" cy="7110088"/>
            <wp:effectExtent l="0" t="0" r="508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711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9C5A6" w14:textId="77777777" w:rsidR="00CD1E50" w:rsidRPr="0001362C" w:rsidRDefault="00CD1E50" w:rsidP="00055C62">
      <w:pPr>
        <w:spacing w:after="240"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72A074CD" w14:textId="77777777" w:rsidR="00CD1E50" w:rsidRPr="0001362C" w:rsidRDefault="00CD1E50" w:rsidP="00CD1E50">
      <w:pPr>
        <w:spacing w:after="160" w:line="259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lastRenderedPageBreak/>
        <w:t xml:space="preserve">Anexo </w:t>
      </w:r>
      <w:r w:rsidR="00121069" w:rsidRPr="0001362C">
        <w:rPr>
          <w:rFonts w:ascii="Museo Sans 300" w:hAnsi="Museo Sans 300" w:cstheme="minorHAnsi"/>
          <w:i/>
          <w:sz w:val="22"/>
          <w:szCs w:val="22"/>
          <w:lang w:val="es-MX"/>
        </w:rPr>
        <w:t>4</w:t>
      </w: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: </w:t>
      </w:r>
    </w:p>
    <w:p w14:paraId="10ADD449" w14:textId="77777777" w:rsidR="00CD1E50" w:rsidRPr="0001362C" w:rsidRDefault="00CD1E50" w:rsidP="00CD1E50">
      <w:pPr>
        <w:spacing w:after="160" w:line="259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>Inversión Pública del SPNF a marzo de 2025 - 2024</w:t>
      </w:r>
    </w:p>
    <w:p w14:paraId="77B5B913" w14:textId="77777777" w:rsidR="00CD1E50" w:rsidRPr="0001362C" w:rsidRDefault="00CD1E50" w:rsidP="00CD1E50">
      <w:pPr>
        <w:spacing w:after="240" w:line="276" w:lineRule="auto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(En millones de US$) </w:t>
      </w:r>
    </w:p>
    <w:p w14:paraId="118A15D3" w14:textId="77777777" w:rsidR="006E73AF" w:rsidRPr="0001362C" w:rsidRDefault="00C9599B" w:rsidP="007C00E1">
      <w:pPr>
        <w:spacing w:line="276" w:lineRule="auto"/>
        <w:jc w:val="center"/>
        <w:rPr>
          <w:rFonts w:ascii="Museo Sans 300" w:hAnsi="Museo Sans 300" w:cstheme="minorHAnsi"/>
          <w:b/>
          <w:sz w:val="22"/>
          <w:szCs w:val="22"/>
          <w:lang w:val="es-MX"/>
        </w:rPr>
      </w:pPr>
      <w:r w:rsidRPr="0001362C">
        <w:rPr>
          <w:rFonts w:ascii="Museo Sans 300" w:hAnsi="Museo Sans 300"/>
          <w:noProof/>
          <w:sz w:val="22"/>
          <w:szCs w:val="22"/>
        </w:rPr>
        <w:drawing>
          <wp:inline distT="0" distB="0" distL="0" distR="0" wp14:anchorId="1A8F7F53" wp14:editId="0E14589D">
            <wp:extent cx="4645944" cy="7095624"/>
            <wp:effectExtent l="0" t="0" r="254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345" cy="710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4064E" w14:textId="77777777" w:rsidR="00172FA7" w:rsidRPr="0001362C" w:rsidRDefault="00172FA7" w:rsidP="0047278A">
      <w:pPr>
        <w:spacing w:after="160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</w:p>
    <w:p w14:paraId="7322E98D" w14:textId="77777777" w:rsidR="00055C62" w:rsidRPr="0001362C" w:rsidRDefault="00836427" w:rsidP="0047278A">
      <w:pPr>
        <w:spacing w:after="160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lastRenderedPageBreak/>
        <w:t>A</w:t>
      </w:r>
      <w:r w:rsidR="006E73AF"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nexo </w:t>
      </w:r>
      <w:r w:rsidR="00CC6D5A" w:rsidRPr="0001362C">
        <w:rPr>
          <w:rFonts w:ascii="Museo Sans 300" w:hAnsi="Museo Sans 300" w:cstheme="minorHAnsi"/>
          <w:i/>
          <w:sz w:val="22"/>
          <w:szCs w:val="22"/>
          <w:lang w:val="es-MX"/>
        </w:rPr>
        <w:t>5</w:t>
      </w:r>
      <w:r w:rsidR="006E73AF"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: </w:t>
      </w:r>
    </w:p>
    <w:p w14:paraId="1D66B2F2" w14:textId="77777777" w:rsidR="006E73AF" w:rsidRPr="0001362C" w:rsidRDefault="006E73AF" w:rsidP="0047278A">
      <w:pPr>
        <w:spacing w:after="160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Saldos de la Deuda del SPNF </w:t>
      </w:r>
      <w:r w:rsidR="00724E84" w:rsidRPr="0001362C">
        <w:rPr>
          <w:rFonts w:ascii="Museo Sans 300" w:hAnsi="Museo Sans 300" w:cstheme="minorHAnsi"/>
          <w:i/>
          <w:sz w:val="22"/>
          <w:szCs w:val="22"/>
          <w:lang w:val="es-MX"/>
        </w:rPr>
        <w:t>a marzo</w:t>
      </w: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 de 202</w:t>
      </w:r>
      <w:r w:rsidR="000614F9" w:rsidRPr="0001362C">
        <w:rPr>
          <w:rFonts w:ascii="Museo Sans 300" w:hAnsi="Museo Sans 300" w:cstheme="minorHAnsi"/>
          <w:i/>
          <w:sz w:val="22"/>
          <w:szCs w:val="22"/>
          <w:lang w:val="es-MX"/>
        </w:rPr>
        <w:t>5</w:t>
      </w: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 - 202</w:t>
      </w:r>
      <w:r w:rsidR="000614F9" w:rsidRPr="0001362C">
        <w:rPr>
          <w:rFonts w:ascii="Museo Sans 300" w:hAnsi="Museo Sans 300" w:cstheme="minorHAnsi"/>
          <w:i/>
          <w:sz w:val="22"/>
          <w:szCs w:val="22"/>
          <w:lang w:val="es-MX"/>
        </w:rPr>
        <w:t>4</w:t>
      </w:r>
    </w:p>
    <w:p w14:paraId="07EBB6F9" w14:textId="77777777" w:rsidR="006E73AF" w:rsidRPr="0001362C" w:rsidRDefault="006E73AF" w:rsidP="0047278A">
      <w:pPr>
        <w:spacing w:after="240"/>
        <w:jc w:val="center"/>
        <w:rPr>
          <w:rFonts w:ascii="Museo Sans 300" w:hAnsi="Museo Sans 300" w:cstheme="minorHAnsi"/>
          <w:i/>
          <w:sz w:val="22"/>
          <w:szCs w:val="22"/>
          <w:lang w:val="es-MX"/>
        </w:rPr>
      </w:pPr>
      <w:r w:rsidRPr="0001362C">
        <w:rPr>
          <w:rFonts w:ascii="Museo Sans 300" w:hAnsi="Museo Sans 300" w:cstheme="minorHAnsi"/>
          <w:i/>
          <w:sz w:val="22"/>
          <w:szCs w:val="22"/>
          <w:lang w:val="es-MX"/>
        </w:rPr>
        <w:t xml:space="preserve">(En millones de US$) </w:t>
      </w:r>
    </w:p>
    <w:p w14:paraId="78D725C0" w14:textId="77777777" w:rsidR="006E73AF" w:rsidRPr="0001362C" w:rsidRDefault="00C9599B" w:rsidP="007C00E1">
      <w:pPr>
        <w:spacing w:line="276" w:lineRule="auto"/>
        <w:jc w:val="center"/>
        <w:rPr>
          <w:rFonts w:ascii="Museo Sans 300" w:hAnsi="Museo Sans 300" w:cstheme="minorHAnsi"/>
          <w:sz w:val="22"/>
          <w:szCs w:val="22"/>
          <w:lang w:val="es-ES"/>
        </w:rPr>
      </w:pPr>
      <w:r w:rsidRPr="0001362C">
        <w:rPr>
          <w:rFonts w:ascii="Museo Sans 300" w:hAnsi="Museo Sans 300"/>
          <w:noProof/>
          <w:sz w:val="22"/>
          <w:szCs w:val="22"/>
        </w:rPr>
        <w:drawing>
          <wp:inline distT="0" distB="0" distL="0" distR="0" wp14:anchorId="3D98411F" wp14:editId="1507240C">
            <wp:extent cx="5261199" cy="6892757"/>
            <wp:effectExtent l="0" t="0" r="0" b="381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00" cy="689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73AF" w:rsidRPr="0001362C" w:rsidSect="00580BEC">
      <w:footerReference w:type="default" r:id="rId27"/>
      <w:pgSz w:w="12240" w:h="15840"/>
      <w:pgMar w:top="1411" w:right="1699" w:bottom="1411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CE519" w14:textId="77777777" w:rsidR="00CF1905" w:rsidRDefault="00CF1905" w:rsidP="00CD6406">
      <w:r>
        <w:separator/>
      </w:r>
    </w:p>
  </w:endnote>
  <w:endnote w:type="continuationSeparator" w:id="0">
    <w:p w14:paraId="46ACB4EC" w14:textId="77777777" w:rsidR="00CF1905" w:rsidRDefault="00CF1905" w:rsidP="00CD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705424"/>
      <w:docPartObj>
        <w:docPartGallery w:val="Page Numbers (Bottom of Page)"/>
        <w:docPartUnique/>
      </w:docPartObj>
    </w:sdtPr>
    <w:sdtEndPr/>
    <w:sdtContent>
      <w:p w14:paraId="6DFA9EF1" w14:textId="26178709" w:rsidR="00677617" w:rsidRDefault="0067761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2B06D20" w14:textId="77777777" w:rsidR="00677617" w:rsidRDefault="006776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7B869" w14:textId="77777777" w:rsidR="00CF1905" w:rsidRDefault="00CF1905" w:rsidP="00CD6406">
      <w:r>
        <w:separator/>
      </w:r>
    </w:p>
  </w:footnote>
  <w:footnote w:type="continuationSeparator" w:id="0">
    <w:p w14:paraId="267194C2" w14:textId="77777777" w:rsidR="00CF1905" w:rsidRDefault="00CF1905" w:rsidP="00CD6406">
      <w:r>
        <w:continuationSeparator/>
      </w:r>
    </w:p>
  </w:footnote>
  <w:footnote w:id="1">
    <w:p w14:paraId="23996351" w14:textId="3BFCC72C" w:rsidR="00076592" w:rsidRPr="00076592" w:rsidRDefault="00076592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8C279D">
        <w:rPr>
          <w:rFonts w:cstheme="minorHAnsi"/>
          <w:szCs w:val="22"/>
          <w:lang w:val="es-MX"/>
        </w:rPr>
        <w:t>(ver anexo 1)</w:t>
      </w:r>
    </w:p>
  </w:footnote>
  <w:footnote w:id="2">
    <w:p w14:paraId="6FE41C80" w14:textId="35B72164" w:rsidR="008E439C" w:rsidRPr="008E439C" w:rsidRDefault="008E439C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714C99">
        <w:rPr>
          <w:lang w:val="es-ES"/>
        </w:rPr>
        <w:t>(ver anexo 2 y 3)</w:t>
      </w:r>
    </w:p>
  </w:footnote>
  <w:footnote w:id="3">
    <w:p w14:paraId="533F9BD7" w14:textId="4077CCCD" w:rsidR="00A22CDD" w:rsidRPr="00A22CDD" w:rsidRDefault="00A22CDD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8C279D">
        <w:rPr>
          <w:rFonts w:cstheme="minorHAnsi"/>
          <w:szCs w:val="22"/>
          <w:lang w:val="es-MX"/>
        </w:rPr>
        <w:t>(ver anexo 2 y 3)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B5263"/>
    <w:multiLevelType w:val="hybridMultilevel"/>
    <w:tmpl w:val="D9BCBBC6"/>
    <w:lvl w:ilvl="0" w:tplc="4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7734DC7"/>
    <w:multiLevelType w:val="hybridMultilevel"/>
    <w:tmpl w:val="42D451D8"/>
    <w:lvl w:ilvl="0" w:tplc="4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86926B3"/>
    <w:multiLevelType w:val="hybridMultilevel"/>
    <w:tmpl w:val="A4EA2178"/>
    <w:lvl w:ilvl="0" w:tplc="4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E0E2773"/>
    <w:multiLevelType w:val="hybridMultilevel"/>
    <w:tmpl w:val="7732221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F317D"/>
    <w:multiLevelType w:val="hybridMultilevel"/>
    <w:tmpl w:val="E21864D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E67EF"/>
    <w:multiLevelType w:val="hybridMultilevel"/>
    <w:tmpl w:val="F8E8988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2609EF"/>
    <w:multiLevelType w:val="hybridMultilevel"/>
    <w:tmpl w:val="36944534"/>
    <w:lvl w:ilvl="0" w:tplc="8EF257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62679"/>
    <w:multiLevelType w:val="hybridMultilevel"/>
    <w:tmpl w:val="4C282F0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7"/>
    <w:rsid w:val="00012037"/>
    <w:rsid w:val="00013222"/>
    <w:rsid w:val="0001362C"/>
    <w:rsid w:val="00015956"/>
    <w:rsid w:val="000167F8"/>
    <w:rsid w:val="00025C01"/>
    <w:rsid w:val="0004120C"/>
    <w:rsid w:val="00054C35"/>
    <w:rsid w:val="00055C62"/>
    <w:rsid w:val="000614F9"/>
    <w:rsid w:val="00065346"/>
    <w:rsid w:val="00071688"/>
    <w:rsid w:val="0007261D"/>
    <w:rsid w:val="00076592"/>
    <w:rsid w:val="00083EB1"/>
    <w:rsid w:val="00085342"/>
    <w:rsid w:val="00087BC6"/>
    <w:rsid w:val="00090FFA"/>
    <w:rsid w:val="00097B2A"/>
    <w:rsid w:val="000A13D8"/>
    <w:rsid w:val="000A3DE5"/>
    <w:rsid w:val="000D5C54"/>
    <w:rsid w:val="000D7E4A"/>
    <w:rsid w:val="000E0053"/>
    <w:rsid w:val="000E366D"/>
    <w:rsid w:val="000E7ED7"/>
    <w:rsid w:val="000F2B79"/>
    <w:rsid w:val="0010152D"/>
    <w:rsid w:val="00105088"/>
    <w:rsid w:val="00105884"/>
    <w:rsid w:val="001068B2"/>
    <w:rsid w:val="001166C7"/>
    <w:rsid w:val="00121069"/>
    <w:rsid w:val="001226CD"/>
    <w:rsid w:val="001349FF"/>
    <w:rsid w:val="00136B9A"/>
    <w:rsid w:val="001404CC"/>
    <w:rsid w:val="00144ED2"/>
    <w:rsid w:val="0014648F"/>
    <w:rsid w:val="0014655C"/>
    <w:rsid w:val="00154E44"/>
    <w:rsid w:val="00154FC8"/>
    <w:rsid w:val="001637C8"/>
    <w:rsid w:val="00171E3B"/>
    <w:rsid w:val="00172FA7"/>
    <w:rsid w:val="0017301F"/>
    <w:rsid w:val="0018189E"/>
    <w:rsid w:val="00187868"/>
    <w:rsid w:val="00192D68"/>
    <w:rsid w:val="0019460F"/>
    <w:rsid w:val="001973D9"/>
    <w:rsid w:val="001A6D06"/>
    <w:rsid w:val="001E18EE"/>
    <w:rsid w:val="001F4115"/>
    <w:rsid w:val="001F5F0A"/>
    <w:rsid w:val="001F71D6"/>
    <w:rsid w:val="00207EF6"/>
    <w:rsid w:val="00222E60"/>
    <w:rsid w:val="0022601C"/>
    <w:rsid w:val="002309FE"/>
    <w:rsid w:val="00232A56"/>
    <w:rsid w:val="00236CFE"/>
    <w:rsid w:val="002410EC"/>
    <w:rsid w:val="00243B63"/>
    <w:rsid w:val="002574B4"/>
    <w:rsid w:val="002729E6"/>
    <w:rsid w:val="00281FA5"/>
    <w:rsid w:val="00283F9C"/>
    <w:rsid w:val="002846B7"/>
    <w:rsid w:val="002A2D46"/>
    <w:rsid w:val="002D1B4A"/>
    <w:rsid w:val="002D6257"/>
    <w:rsid w:val="002D67D4"/>
    <w:rsid w:val="002E06B9"/>
    <w:rsid w:val="002E2E85"/>
    <w:rsid w:val="002E747D"/>
    <w:rsid w:val="002E75FB"/>
    <w:rsid w:val="002F267D"/>
    <w:rsid w:val="002F33A9"/>
    <w:rsid w:val="003065E6"/>
    <w:rsid w:val="00321B54"/>
    <w:rsid w:val="003249E7"/>
    <w:rsid w:val="00332D7A"/>
    <w:rsid w:val="00347775"/>
    <w:rsid w:val="00353071"/>
    <w:rsid w:val="00357811"/>
    <w:rsid w:val="00361FF7"/>
    <w:rsid w:val="003639FC"/>
    <w:rsid w:val="00364276"/>
    <w:rsid w:val="00391060"/>
    <w:rsid w:val="003A4DC9"/>
    <w:rsid w:val="003A786E"/>
    <w:rsid w:val="003C1660"/>
    <w:rsid w:val="003C1EA9"/>
    <w:rsid w:val="003C7FC0"/>
    <w:rsid w:val="003D42CA"/>
    <w:rsid w:val="003D59C4"/>
    <w:rsid w:val="003F1D05"/>
    <w:rsid w:val="003F72FA"/>
    <w:rsid w:val="00400466"/>
    <w:rsid w:val="004024AC"/>
    <w:rsid w:val="00403B4D"/>
    <w:rsid w:val="00413FDE"/>
    <w:rsid w:val="00427275"/>
    <w:rsid w:val="004338F2"/>
    <w:rsid w:val="00437547"/>
    <w:rsid w:val="00441AD3"/>
    <w:rsid w:val="00443463"/>
    <w:rsid w:val="00444A8D"/>
    <w:rsid w:val="004465C4"/>
    <w:rsid w:val="004521A2"/>
    <w:rsid w:val="00465C72"/>
    <w:rsid w:val="004712F9"/>
    <w:rsid w:val="0047278A"/>
    <w:rsid w:val="00474B1F"/>
    <w:rsid w:val="00486288"/>
    <w:rsid w:val="00493E28"/>
    <w:rsid w:val="00496D88"/>
    <w:rsid w:val="004A169E"/>
    <w:rsid w:val="004B0DE3"/>
    <w:rsid w:val="004B1479"/>
    <w:rsid w:val="004B1D41"/>
    <w:rsid w:val="004B5B4E"/>
    <w:rsid w:val="004B64AF"/>
    <w:rsid w:val="004C2A43"/>
    <w:rsid w:val="004C55D1"/>
    <w:rsid w:val="004E1160"/>
    <w:rsid w:val="004E1D81"/>
    <w:rsid w:val="004F2D9F"/>
    <w:rsid w:val="004F36B3"/>
    <w:rsid w:val="00512D89"/>
    <w:rsid w:val="00546AC6"/>
    <w:rsid w:val="0056580C"/>
    <w:rsid w:val="00567A6E"/>
    <w:rsid w:val="00573F4A"/>
    <w:rsid w:val="005765B9"/>
    <w:rsid w:val="00576CFF"/>
    <w:rsid w:val="00577803"/>
    <w:rsid w:val="00580BEC"/>
    <w:rsid w:val="00582626"/>
    <w:rsid w:val="005834CC"/>
    <w:rsid w:val="00587CEE"/>
    <w:rsid w:val="005C047B"/>
    <w:rsid w:val="005D071D"/>
    <w:rsid w:val="005D3FC1"/>
    <w:rsid w:val="005D6B32"/>
    <w:rsid w:val="006003E4"/>
    <w:rsid w:val="00604BE3"/>
    <w:rsid w:val="0061129C"/>
    <w:rsid w:val="00620081"/>
    <w:rsid w:val="006225B4"/>
    <w:rsid w:val="00641101"/>
    <w:rsid w:val="00651E0A"/>
    <w:rsid w:val="0066179E"/>
    <w:rsid w:val="00663594"/>
    <w:rsid w:val="00663AF6"/>
    <w:rsid w:val="00665494"/>
    <w:rsid w:val="00671A67"/>
    <w:rsid w:val="00677617"/>
    <w:rsid w:val="00690D2C"/>
    <w:rsid w:val="006939C3"/>
    <w:rsid w:val="00695C75"/>
    <w:rsid w:val="006B2716"/>
    <w:rsid w:val="006C6456"/>
    <w:rsid w:val="006E53FC"/>
    <w:rsid w:val="006E73AF"/>
    <w:rsid w:val="0070292C"/>
    <w:rsid w:val="007038CF"/>
    <w:rsid w:val="007126F9"/>
    <w:rsid w:val="00714C99"/>
    <w:rsid w:val="00717BA8"/>
    <w:rsid w:val="007200B1"/>
    <w:rsid w:val="00721F73"/>
    <w:rsid w:val="00724E84"/>
    <w:rsid w:val="00731C8B"/>
    <w:rsid w:val="00732C71"/>
    <w:rsid w:val="0074290E"/>
    <w:rsid w:val="0074373E"/>
    <w:rsid w:val="007448A8"/>
    <w:rsid w:val="0076309B"/>
    <w:rsid w:val="0076425C"/>
    <w:rsid w:val="0076704B"/>
    <w:rsid w:val="0078021A"/>
    <w:rsid w:val="007814B7"/>
    <w:rsid w:val="007853B2"/>
    <w:rsid w:val="007872EC"/>
    <w:rsid w:val="00791307"/>
    <w:rsid w:val="00795301"/>
    <w:rsid w:val="007A1A06"/>
    <w:rsid w:val="007A6053"/>
    <w:rsid w:val="007B011D"/>
    <w:rsid w:val="007B33DF"/>
    <w:rsid w:val="007B4DDD"/>
    <w:rsid w:val="007B5579"/>
    <w:rsid w:val="007B7CA2"/>
    <w:rsid w:val="007C00E1"/>
    <w:rsid w:val="007C2CD3"/>
    <w:rsid w:val="007C3194"/>
    <w:rsid w:val="007C4954"/>
    <w:rsid w:val="007C6D9F"/>
    <w:rsid w:val="007E00ED"/>
    <w:rsid w:val="007F04B7"/>
    <w:rsid w:val="0080285D"/>
    <w:rsid w:val="00804712"/>
    <w:rsid w:val="00806290"/>
    <w:rsid w:val="00812726"/>
    <w:rsid w:val="00815D83"/>
    <w:rsid w:val="00821150"/>
    <w:rsid w:val="00823BC1"/>
    <w:rsid w:val="008269EE"/>
    <w:rsid w:val="008278C0"/>
    <w:rsid w:val="00836427"/>
    <w:rsid w:val="008464A4"/>
    <w:rsid w:val="00855898"/>
    <w:rsid w:val="008570EF"/>
    <w:rsid w:val="00861E61"/>
    <w:rsid w:val="008714BE"/>
    <w:rsid w:val="0087550F"/>
    <w:rsid w:val="00876BA9"/>
    <w:rsid w:val="00884742"/>
    <w:rsid w:val="00887DC5"/>
    <w:rsid w:val="00890928"/>
    <w:rsid w:val="00892332"/>
    <w:rsid w:val="008C279D"/>
    <w:rsid w:val="008C3428"/>
    <w:rsid w:val="008C5D9F"/>
    <w:rsid w:val="008C6261"/>
    <w:rsid w:val="008D26F9"/>
    <w:rsid w:val="008E16F9"/>
    <w:rsid w:val="008E2FBC"/>
    <w:rsid w:val="008E439C"/>
    <w:rsid w:val="00902C2A"/>
    <w:rsid w:val="00905820"/>
    <w:rsid w:val="00907AD1"/>
    <w:rsid w:val="00911BEA"/>
    <w:rsid w:val="00922339"/>
    <w:rsid w:val="009225FE"/>
    <w:rsid w:val="0093208D"/>
    <w:rsid w:val="009411BF"/>
    <w:rsid w:val="00942843"/>
    <w:rsid w:val="009442CF"/>
    <w:rsid w:val="009560DD"/>
    <w:rsid w:val="00957E00"/>
    <w:rsid w:val="00971ADF"/>
    <w:rsid w:val="009847C8"/>
    <w:rsid w:val="009873FE"/>
    <w:rsid w:val="009A2268"/>
    <w:rsid w:val="009A5107"/>
    <w:rsid w:val="009B6A63"/>
    <w:rsid w:val="009C0916"/>
    <w:rsid w:val="009E150A"/>
    <w:rsid w:val="009F4B21"/>
    <w:rsid w:val="00A004E5"/>
    <w:rsid w:val="00A00658"/>
    <w:rsid w:val="00A03212"/>
    <w:rsid w:val="00A0733E"/>
    <w:rsid w:val="00A13734"/>
    <w:rsid w:val="00A16C53"/>
    <w:rsid w:val="00A22CDD"/>
    <w:rsid w:val="00A23881"/>
    <w:rsid w:val="00A34215"/>
    <w:rsid w:val="00A51897"/>
    <w:rsid w:val="00A53CD3"/>
    <w:rsid w:val="00A71B3D"/>
    <w:rsid w:val="00A7504A"/>
    <w:rsid w:val="00A81ACA"/>
    <w:rsid w:val="00A96EF4"/>
    <w:rsid w:val="00A9799B"/>
    <w:rsid w:val="00AA274B"/>
    <w:rsid w:val="00AB0F79"/>
    <w:rsid w:val="00AB3470"/>
    <w:rsid w:val="00AC75B5"/>
    <w:rsid w:val="00AD1EB5"/>
    <w:rsid w:val="00AD348F"/>
    <w:rsid w:val="00AD50B4"/>
    <w:rsid w:val="00AE0DA3"/>
    <w:rsid w:val="00AE5F50"/>
    <w:rsid w:val="00AF07DC"/>
    <w:rsid w:val="00AF1C05"/>
    <w:rsid w:val="00AF1F50"/>
    <w:rsid w:val="00AF4809"/>
    <w:rsid w:val="00AF59E7"/>
    <w:rsid w:val="00AF6B86"/>
    <w:rsid w:val="00B15573"/>
    <w:rsid w:val="00B172C6"/>
    <w:rsid w:val="00B216B7"/>
    <w:rsid w:val="00B25168"/>
    <w:rsid w:val="00B32A16"/>
    <w:rsid w:val="00B35EEB"/>
    <w:rsid w:val="00B40B37"/>
    <w:rsid w:val="00B44772"/>
    <w:rsid w:val="00B44FEE"/>
    <w:rsid w:val="00B46567"/>
    <w:rsid w:val="00B50C62"/>
    <w:rsid w:val="00B554CC"/>
    <w:rsid w:val="00B610B2"/>
    <w:rsid w:val="00B61DEA"/>
    <w:rsid w:val="00B6261C"/>
    <w:rsid w:val="00B63F6F"/>
    <w:rsid w:val="00B92944"/>
    <w:rsid w:val="00BA18A6"/>
    <w:rsid w:val="00BA69BD"/>
    <w:rsid w:val="00BC09B0"/>
    <w:rsid w:val="00BC2933"/>
    <w:rsid w:val="00BD720B"/>
    <w:rsid w:val="00BE0424"/>
    <w:rsid w:val="00BE2EB4"/>
    <w:rsid w:val="00BF1BD4"/>
    <w:rsid w:val="00C03BA0"/>
    <w:rsid w:val="00C11DD8"/>
    <w:rsid w:val="00C151CE"/>
    <w:rsid w:val="00C24D0F"/>
    <w:rsid w:val="00C27756"/>
    <w:rsid w:val="00C30E97"/>
    <w:rsid w:val="00C33E69"/>
    <w:rsid w:val="00C35A43"/>
    <w:rsid w:val="00C43FE5"/>
    <w:rsid w:val="00C44EDC"/>
    <w:rsid w:val="00C45827"/>
    <w:rsid w:val="00C54743"/>
    <w:rsid w:val="00C73589"/>
    <w:rsid w:val="00C76DC8"/>
    <w:rsid w:val="00C842E6"/>
    <w:rsid w:val="00C84BDC"/>
    <w:rsid w:val="00C953B7"/>
    <w:rsid w:val="00C9599B"/>
    <w:rsid w:val="00C95B81"/>
    <w:rsid w:val="00CA5C85"/>
    <w:rsid w:val="00CA7BED"/>
    <w:rsid w:val="00CB02A5"/>
    <w:rsid w:val="00CB5E41"/>
    <w:rsid w:val="00CC0DE8"/>
    <w:rsid w:val="00CC6D5A"/>
    <w:rsid w:val="00CD00BC"/>
    <w:rsid w:val="00CD03DD"/>
    <w:rsid w:val="00CD1E50"/>
    <w:rsid w:val="00CD53F4"/>
    <w:rsid w:val="00CD6406"/>
    <w:rsid w:val="00CE2FBF"/>
    <w:rsid w:val="00CE390B"/>
    <w:rsid w:val="00CE5A10"/>
    <w:rsid w:val="00CE698B"/>
    <w:rsid w:val="00CF1905"/>
    <w:rsid w:val="00CF1A08"/>
    <w:rsid w:val="00D00611"/>
    <w:rsid w:val="00D01ACC"/>
    <w:rsid w:val="00D11332"/>
    <w:rsid w:val="00D11A8F"/>
    <w:rsid w:val="00D121A4"/>
    <w:rsid w:val="00D30F74"/>
    <w:rsid w:val="00D3635C"/>
    <w:rsid w:val="00D36DFD"/>
    <w:rsid w:val="00D430CF"/>
    <w:rsid w:val="00D508CB"/>
    <w:rsid w:val="00D50FDF"/>
    <w:rsid w:val="00D52D2C"/>
    <w:rsid w:val="00D64D18"/>
    <w:rsid w:val="00D660B6"/>
    <w:rsid w:val="00D7132F"/>
    <w:rsid w:val="00D7151C"/>
    <w:rsid w:val="00D7299C"/>
    <w:rsid w:val="00D74053"/>
    <w:rsid w:val="00D93C5E"/>
    <w:rsid w:val="00DA1FE0"/>
    <w:rsid w:val="00DB0518"/>
    <w:rsid w:val="00DB1995"/>
    <w:rsid w:val="00DB2814"/>
    <w:rsid w:val="00DB5E7C"/>
    <w:rsid w:val="00DB68ED"/>
    <w:rsid w:val="00DB777F"/>
    <w:rsid w:val="00DB7932"/>
    <w:rsid w:val="00DC052D"/>
    <w:rsid w:val="00DC4557"/>
    <w:rsid w:val="00DC4902"/>
    <w:rsid w:val="00DE1232"/>
    <w:rsid w:val="00DF46A6"/>
    <w:rsid w:val="00E002CC"/>
    <w:rsid w:val="00E110B3"/>
    <w:rsid w:val="00E15344"/>
    <w:rsid w:val="00E17CA5"/>
    <w:rsid w:val="00E22524"/>
    <w:rsid w:val="00E22D40"/>
    <w:rsid w:val="00E244D4"/>
    <w:rsid w:val="00E4143B"/>
    <w:rsid w:val="00E457B3"/>
    <w:rsid w:val="00E51922"/>
    <w:rsid w:val="00E61B3F"/>
    <w:rsid w:val="00E65CF6"/>
    <w:rsid w:val="00E673F3"/>
    <w:rsid w:val="00E7062A"/>
    <w:rsid w:val="00E70874"/>
    <w:rsid w:val="00E90057"/>
    <w:rsid w:val="00E935B7"/>
    <w:rsid w:val="00E94323"/>
    <w:rsid w:val="00EB223A"/>
    <w:rsid w:val="00EB3465"/>
    <w:rsid w:val="00EB4A2D"/>
    <w:rsid w:val="00EB762E"/>
    <w:rsid w:val="00ED0F7A"/>
    <w:rsid w:val="00ED71FC"/>
    <w:rsid w:val="00EE08A6"/>
    <w:rsid w:val="00EE0EA8"/>
    <w:rsid w:val="00EF00A0"/>
    <w:rsid w:val="00F03940"/>
    <w:rsid w:val="00F03C71"/>
    <w:rsid w:val="00F05669"/>
    <w:rsid w:val="00F07456"/>
    <w:rsid w:val="00F11962"/>
    <w:rsid w:val="00F23696"/>
    <w:rsid w:val="00F238D6"/>
    <w:rsid w:val="00F5750B"/>
    <w:rsid w:val="00F6305C"/>
    <w:rsid w:val="00F65CBF"/>
    <w:rsid w:val="00F843A5"/>
    <w:rsid w:val="00F8792F"/>
    <w:rsid w:val="00F90D75"/>
    <w:rsid w:val="00F96985"/>
    <w:rsid w:val="00FA2DBA"/>
    <w:rsid w:val="00FA3125"/>
    <w:rsid w:val="00FB3433"/>
    <w:rsid w:val="00FB57B8"/>
    <w:rsid w:val="00FC5A8B"/>
    <w:rsid w:val="00FD0D55"/>
    <w:rsid w:val="00FD3348"/>
    <w:rsid w:val="00FE13D7"/>
    <w:rsid w:val="00FE63F6"/>
    <w:rsid w:val="00FE6DBE"/>
    <w:rsid w:val="00F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9CB95D"/>
  <w15:chartTrackingRefBased/>
  <w15:docId w15:val="{E91A12C7-4BA8-4063-BA00-DEFAB0F7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9FE"/>
    <w:pPr>
      <w:spacing w:after="0" w:line="240" w:lineRule="auto"/>
    </w:pPr>
    <w:rPr>
      <w:rFonts w:eastAsia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E00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53FC"/>
    <w:pPr>
      <w:keepNext/>
      <w:keepLines/>
      <w:spacing w:before="40"/>
      <w:outlineLvl w:val="1"/>
    </w:pPr>
    <w:rPr>
      <w:rFonts w:ascii="Calibri Light" w:hAnsi="Calibri Light"/>
      <w:b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E53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E53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000000" w:themeColor="text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E53FC"/>
    <w:rPr>
      <w:rFonts w:ascii="Calibri Light" w:eastAsia="Times New Roman" w:hAnsi="Calibri Light" w:cs="Times New Roman"/>
      <w:b/>
      <w:szCs w:val="26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E7ED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E7ED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E53FC"/>
    <w:rPr>
      <w:rFonts w:asciiTheme="majorHAnsi" w:eastAsiaTheme="majorEastAsia" w:hAnsiTheme="majorHAnsi" w:cstheme="majorBidi"/>
      <w:b/>
      <w:color w:val="1F3763" w:themeColor="accent1" w:themeShade="7F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0E7ED7"/>
    <w:pPr>
      <w:spacing w:before="100" w:beforeAutospacing="1" w:after="100" w:afterAutospacing="1"/>
    </w:pPr>
    <w:rPr>
      <w:sz w:val="24"/>
      <w:szCs w:val="24"/>
      <w:lang w:val="es-SV" w:eastAsia="es-SV"/>
    </w:rPr>
  </w:style>
  <w:style w:type="character" w:customStyle="1" w:styleId="Ttulo1Car">
    <w:name w:val="Título 1 Car"/>
    <w:basedOn w:val="Fuentedeprrafopredeter"/>
    <w:link w:val="Ttulo1"/>
    <w:uiPriority w:val="9"/>
    <w:rsid w:val="000E0053"/>
    <w:rPr>
      <w:rFonts w:asciiTheme="majorHAnsi" w:eastAsiaTheme="majorEastAsia" w:hAnsiTheme="majorHAnsi" w:cstheme="majorBidi"/>
      <w:b/>
      <w:color w:val="000000" w:themeColor="text1"/>
      <w:sz w:val="28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B44772"/>
    <w:pPr>
      <w:spacing w:line="259" w:lineRule="auto"/>
      <w:outlineLvl w:val="9"/>
    </w:pPr>
    <w:rPr>
      <w:lang w:val="es-SV" w:eastAsia="es-SV"/>
    </w:rPr>
  </w:style>
  <w:style w:type="paragraph" w:styleId="TDC2">
    <w:name w:val="toc 2"/>
    <w:basedOn w:val="Normal"/>
    <w:next w:val="Normal"/>
    <w:autoRedefine/>
    <w:uiPriority w:val="39"/>
    <w:unhideWhenUsed/>
    <w:rsid w:val="00B44772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B44772"/>
    <w:pPr>
      <w:spacing w:after="100"/>
      <w:ind w:left="400"/>
    </w:pPr>
  </w:style>
  <w:style w:type="paragraph" w:styleId="TDC1">
    <w:name w:val="toc 1"/>
    <w:basedOn w:val="Normal"/>
    <w:next w:val="Normal"/>
    <w:autoRedefine/>
    <w:uiPriority w:val="39"/>
    <w:unhideWhenUsed/>
    <w:rsid w:val="00B44772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4477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4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406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CD64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640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D64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40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1129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1129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1129C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6E53FC"/>
    <w:rPr>
      <w:rFonts w:asciiTheme="majorHAnsi" w:eastAsiaTheme="majorEastAsia" w:hAnsiTheme="majorHAnsi" w:cstheme="majorBidi"/>
      <w:b/>
      <w:i/>
      <w:iCs/>
      <w:color w:val="000000" w:themeColor="text1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C1E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C1EA9"/>
  </w:style>
  <w:style w:type="character" w:customStyle="1" w:styleId="TextocomentarioCar">
    <w:name w:val="Texto comentario Car"/>
    <w:basedOn w:val="Fuentedeprrafopredeter"/>
    <w:link w:val="Textocomentario"/>
    <w:uiPriority w:val="99"/>
    <w:rsid w:val="003C1EA9"/>
    <w:rPr>
      <w:rFonts w:eastAsia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E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1EA9"/>
    <w:rPr>
      <w:rFonts w:eastAsia="Times New Roman" w:cs="Times New Roman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8269EE"/>
    <w:pPr>
      <w:spacing w:after="0" w:line="240" w:lineRule="auto"/>
    </w:pPr>
    <w:rPr>
      <w:rFonts w:eastAsia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76592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6592"/>
    <w:rPr>
      <w:rFonts w:eastAsia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765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Microsoft_Excel_Worksheet3.xlsx"/><Relationship Id="rId18" Type="http://schemas.openxmlformats.org/officeDocument/2006/relationships/package" Target="embeddings/Microsoft_Excel_Worksheet7.xlsx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3.emf"/><Relationship Id="rId25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image" Target="media/image5.emf"/><Relationship Id="rId28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4.xml"/><Relationship Id="rId22" Type="http://schemas.openxmlformats.org/officeDocument/2006/relationships/image" Target="media/image4.emf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Tributarios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Hoja1!$A$2:$A$7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Hoja1!$B$2:$B$7</c:f>
              <c:numCache>
                <c:formatCode>#,##0.0</c:formatCode>
                <c:ptCount val="6"/>
                <c:pt idx="0">
                  <c:v>1205.9000000000001</c:v>
                </c:pt>
                <c:pt idx="1">
                  <c:v>1306.3</c:v>
                </c:pt>
                <c:pt idx="2">
                  <c:v>1635.4</c:v>
                </c:pt>
                <c:pt idx="3">
                  <c:v>1627.8</c:v>
                </c:pt>
                <c:pt idx="4">
                  <c:v>1828</c:v>
                </c:pt>
                <c:pt idx="5">
                  <c:v>1885.3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EC-42D3-BB33-8AF7A64E64EC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No tributarios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Hoja1!$A$2:$A$7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Hoja1!$C$2:$C$7</c:f>
              <c:numCache>
                <c:formatCode>#,##0.0</c:formatCode>
                <c:ptCount val="6"/>
                <c:pt idx="0">
                  <c:v>270.3</c:v>
                </c:pt>
                <c:pt idx="1">
                  <c:v>232</c:v>
                </c:pt>
                <c:pt idx="2">
                  <c:v>257.7</c:v>
                </c:pt>
                <c:pt idx="3">
                  <c:v>283.89999999999998</c:v>
                </c:pt>
                <c:pt idx="4">
                  <c:v>295.89999999999998</c:v>
                </c:pt>
                <c:pt idx="5">
                  <c:v>315.60000000000002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EC-42D3-BB33-8AF7A64E64EC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Superavit de empr. públicas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Hoja1!$A$2:$A$7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Hoja1!$D$2:$D$7</c:f>
              <c:numCache>
                <c:formatCode>#,##0.0</c:formatCode>
                <c:ptCount val="6"/>
                <c:pt idx="0">
                  <c:v>23.8</c:v>
                </c:pt>
                <c:pt idx="1">
                  <c:v>19.399999999999999</c:v>
                </c:pt>
                <c:pt idx="2">
                  <c:v>20.3</c:v>
                </c:pt>
                <c:pt idx="3">
                  <c:v>35.700000000000003</c:v>
                </c:pt>
                <c:pt idx="4">
                  <c:v>42.2</c:v>
                </c:pt>
                <c:pt idx="5">
                  <c:v>30.2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FEC-42D3-BB33-8AF7A64E64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100"/>
        <c:axId val="2013745999"/>
        <c:axId val="1702279839"/>
        <c:extLst>
          <c:ext xmlns:c15="http://schemas.microsoft.com/office/drawing/2012/chart" uri="{02D57815-91ED-43cb-92C2-25804820EDAC}">
            <c15:filteredBarSeries>
              <c15:ser>
                <c:idx val="3"/>
                <c:order val="3"/>
                <c:tx>
                  <c:strRef>
                    <c:extLst>
                      <c:ext uri="{02D57815-91ED-43cb-92C2-25804820EDAC}">
                        <c15:formulaRef>
                          <c15:sqref>Hoja1!$E$1</c15:sqref>
                        </c15:formulaRef>
                      </c:ext>
                    </c:extLst>
                    <c:strCache>
                      <c:ptCount val="1"/>
                      <c:pt idx="0">
                        <c:v>Donac. e ingr. de capital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Hoja1!$A$2:$A$7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2020</c:v>
                      </c:pt>
                      <c:pt idx="1">
                        <c:v>2021</c:v>
                      </c:pt>
                      <c:pt idx="2">
                        <c:v>2022</c:v>
                      </c:pt>
                      <c:pt idx="3">
                        <c:v>2023</c:v>
                      </c:pt>
                      <c:pt idx="4">
                        <c:v>2024</c:v>
                      </c:pt>
                      <c:pt idx="5">
                        <c:v>2025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Hoja1!$E$2:$E$7</c15:sqref>
                        </c15:formulaRef>
                      </c:ext>
                    </c:extLst>
                    <c:numCache>
                      <c:formatCode>#,##0.0</c:formatCode>
                      <c:ptCount val="6"/>
                      <c:pt idx="0">
                        <c:v>39.6</c:v>
                      </c:pt>
                      <c:pt idx="1">
                        <c:v>1.3</c:v>
                      </c:pt>
                      <c:pt idx="2">
                        <c:v>4.5999999999999996</c:v>
                      </c:pt>
                      <c:pt idx="3">
                        <c:v>1.7</c:v>
                      </c:pt>
                      <c:pt idx="4">
                        <c:v>13.1</c:v>
                      </c:pt>
                      <c:pt idx="5">
                        <c:v>5.9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5-AFEC-42D3-BB33-8AF7A64E64EC}"/>
                  </c:ext>
                </c:extLst>
              </c15:ser>
            </c15:filteredBarSeries>
          </c:ext>
        </c:extLst>
      </c:barChart>
      <c:lineChart>
        <c:grouping val="standard"/>
        <c:varyColors val="0"/>
        <c:ser>
          <c:idx val="4"/>
          <c:order val="4"/>
          <c:tx>
            <c:strRef>
              <c:f>Hoja1!$F$1</c:f>
              <c:strCache>
                <c:ptCount val="1"/>
                <c:pt idx="0">
                  <c:v>Ing. Totales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cat>
            <c:numRef>
              <c:f>Hoja1!$A$2:$A$7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Hoja1!$F$2:$F$7</c:f>
              <c:numCache>
                <c:formatCode>#,##0.0</c:formatCode>
                <c:ptCount val="6"/>
                <c:pt idx="0">
                  <c:v>1539.5</c:v>
                </c:pt>
                <c:pt idx="1">
                  <c:v>1558.9</c:v>
                </c:pt>
                <c:pt idx="2">
                  <c:v>1917.9</c:v>
                </c:pt>
                <c:pt idx="3">
                  <c:v>1949</c:v>
                </c:pt>
                <c:pt idx="4">
                  <c:v>2179.1</c:v>
                </c:pt>
                <c:pt idx="5">
                  <c:v>2236.9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FEC-42D3-BB33-8AF7A64E64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13745999"/>
        <c:axId val="1702279839"/>
      </c:lineChart>
      <c:lineChart>
        <c:grouping val="standard"/>
        <c:varyColors val="0"/>
        <c:ser>
          <c:idx val="5"/>
          <c:order val="5"/>
          <c:tx>
            <c:strRef>
              <c:f>Hoja1!$G$1</c:f>
              <c:strCache>
                <c:ptCount val="1"/>
                <c:pt idx="0">
                  <c:v>% del PIB (eje der.)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Hoja1!$G$2:$G$7</c:f>
              <c:numCache>
                <c:formatCode>#,##0.0</c:formatCode>
                <c:ptCount val="6"/>
                <c:pt idx="0">
                  <c:v>6.1774738686234487</c:v>
                </c:pt>
                <c:pt idx="1">
                  <c:v>5.3675325739572237</c:v>
                </c:pt>
                <c:pt idx="2">
                  <c:v>6.0178662759137875</c:v>
                </c:pt>
                <c:pt idx="3">
                  <c:v>5.7570915020130622</c:v>
                </c:pt>
                <c:pt idx="4">
                  <c:v>6.1617418351477449</c:v>
                </c:pt>
                <c:pt idx="5">
                  <c:v>6.0903657922321903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FEC-42D3-BB33-8AF7A64E64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28032623"/>
        <c:axId val="2011931903"/>
      </c:lineChart>
      <c:catAx>
        <c:axId val="20137459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1702279839"/>
        <c:crosses val="autoZero"/>
        <c:auto val="1"/>
        <c:lblAlgn val="ctr"/>
        <c:lblOffset val="100"/>
        <c:noMultiLvlLbl val="0"/>
      </c:catAx>
      <c:valAx>
        <c:axId val="1702279839"/>
        <c:scaling>
          <c:orientation val="minMax"/>
        </c:scaling>
        <c:delete val="0"/>
        <c:axPos val="l"/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2013745999"/>
        <c:crosses val="autoZero"/>
        <c:crossBetween val="between"/>
      </c:valAx>
      <c:valAx>
        <c:axId val="2011931903"/>
        <c:scaling>
          <c:orientation val="minMax"/>
        </c:scaling>
        <c:delete val="0"/>
        <c:axPos val="r"/>
        <c:numFmt formatCode="#,##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2128032623"/>
        <c:crosses val="max"/>
        <c:crossBetween val="between"/>
      </c:valAx>
      <c:catAx>
        <c:axId val="212803262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011931903"/>
        <c:crosses val="autoZero"/>
        <c:auto val="1"/>
        <c:lblAlgn val="ctr"/>
        <c:lblOffset val="100"/>
        <c:noMultiLvlLbl val="0"/>
      </c:catAx>
      <c:dTable>
        <c:showHorzBorder val="0"/>
        <c:showVertBorder val="1"/>
        <c:showOutline val="1"/>
        <c:showKeys val="1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SV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IT</c:v>
                </c:pt>
              </c:strCache>
            </c:strRef>
          </c:tx>
          <c:spPr>
            <a:solidFill>
              <a:srgbClr val="2E75B6"/>
            </a:solidFill>
            <a:ln>
              <a:noFill/>
            </a:ln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Hoja1!$B$2:$B$7</c:f>
              <c:numCache>
                <c:formatCode>#,##0.0</c:formatCode>
                <c:ptCount val="6"/>
                <c:pt idx="0">
                  <c:v>1205.9000000000001</c:v>
                </c:pt>
                <c:pt idx="1">
                  <c:v>1306.3</c:v>
                </c:pt>
                <c:pt idx="2">
                  <c:v>1634.8</c:v>
                </c:pt>
                <c:pt idx="3">
                  <c:v>1627.8</c:v>
                </c:pt>
                <c:pt idx="4">
                  <c:v>1828</c:v>
                </c:pt>
                <c:pt idx="5">
                  <c:v>1885.3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C2-4B84-A630-F297A892EDE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Hoja1!$A$2:$A$7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Hoja1!$D$2:$D$7</c:f>
            </c:numRef>
          </c:val>
          <c:extLst>
            <c:ext xmlns:c16="http://schemas.microsoft.com/office/drawing/2014/chart" uri="{C3380CC4-5D6E-409C-BE32-E72D297353CC}">
              <c16:uniqueId val="{00000001-C6C2-4B84-A630-F297A892ED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2012565695"/>
        <c:axId val="2019989759"/>
      </c:barChart>
      <c:lineChart>
        <c:grouping val="standard"/>
        <c:varyColors val="0"/>
        <c:ser>
          <c:idx val="1"/>
          <c:order val="1"/>
          <c:tx>
            <c:strRef>
              <c:f>Hoja1!$C$1</c:f>
              <c:strCache>
                <c:ptCount val="1"/>
                <c:pt idx="0">
                  <c:v>% PIB</c:v>
                </c:pt>
              </c:strCache>
            </c:strRef>
          </c:tx>
          <c:spPr>
            <a:ln w="28575" cap="rnd">
              <a:solidFill>
                <a:srgbClr val="BDD7EE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rgbClr val="BDD7EE"/>
              </a:solidFill>
              <a:ln w="9525">
                <a:solidFill>
                  <a:srgbClr val="BDD7EE"/>
                </a:solidFill>
              </a:ln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Hoja1!$C$2:$C$7</c:f>
              <c:numCache>
                <c:formatCode>#,##0.0</c:formatCode>
                <c:ptCount val="6"/>
                <c:pt idx="0">
                  <c:v>4.8388540033601934</c:v>
                </c:pt>
                <c:pt idx="1">
                  <c:v>4.4977919054206952</c:v>
                </c:pt>
                <c:pt idx="2">
                  <c:v>5.1295728598278645</c:v>
                </c:pt>
                <c:pt idx="3">
                  <c:v>4.8083086439080871</c:v>
                </c:pt>
                <c:pt idx="4">
                  <c:v>5.1689523540223385</c:v>
                </c:pt>
                <c:pt idx="5">
                  <c:v>5.133071048368433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6C2-4B84-A630-F297A892ED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39927343"/>
        <c:axId val="2134296511"/>
      </c:lineChart>
      <c:catAx>
        <c:axId val="201256569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2019989759"/>
        <c:crosses val="autoZero"/>
        <c:auto val="1"/>
        <c:lblAlgn val="ctr"/>
        <c:lblOffset val="100"/>
        <c:noMultiLvlLbl val="0"/>
      </c:catAx>
      <c:valAx>
        <c:axId val="2019989759"/>
        <c:scaling>
          <c:orientation val="minMax"/>
          <c:min val="8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SV" sz="900"/>
                  <a:t>Millones US$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SV"/>
            </a:p>
          </c:txPr>
        </c:title>
        <c:numFmt formatCode="#,##0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2012565695"/>
        <c:crosses val="autoZero"/>
        <c:crossBetween val="between"/>
      </c:valAx>
      <c:valAx>
        <c:axId val="2134296511"/>
        <c:scaling>
          <c:orientation val="minMax"/>
          <c:min val="3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SV" sz="900"/>
                  <a:t>Porcentaje del PIB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SV"/>
            </a:p>
          </c:txPr>
        </c:title>
        <c:numFmt formatCode="#,##0.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2139927343"/>
        <c:crosses val="max"/>
        <c:crossBetween val="between"/>
      </c:valAx>
      <c:catAx>
        <c:axId val="213992734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134296511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S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solidFill>
            <a:sysClr val="windowText" lastClr="000000"/>
          </a:solidFill>
        </a:defRPr>
      </a:pPr>
      <a:endParaRPr lang="es-SV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IVA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Hoja1!$A$2:$A$7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Hoja1!$B$2:$B$7</c:f>
              <c:numCache>
                <c:formatCode>#,##0.0</c:formatCode>
                <c:ptCount val="6"/>
                <c:pt idx="0">
                  <c:v>584.79999999999995</c:v>
                </c:pt>
                <c:pt idx="1">
                  <c:v>670.7</c:v>
                </c:pt>
                <c:pt idx="2">
                  <c:v>807.2</c:v>
                </c:pt>
                <c:pt idx="3">
                  <c:v>763.6</c:v>
                </c:pt>
                <c:pt idx="4">
                  <c:v>874.7</c:v>
                </c:pt>
                <c:pt idx="5">
                  <c:v>941.9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B1-4D03-8862-919AD1ACAF99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ISR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Hoja1!$A$2:$A$7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Hoja1!$C$2:$C$7</c:f>
              <c:numCache>
                <c:formatCode>#,##0.0</c:formatCode>
                <c:ptCount val="6"/>
                <c:pt idx="0">
                  <c:v>450.7</c:v>
                </c:pt>
                <c:pt idx="1">
                  <c:v>463.9</c:v>
                </c:pt>
                <c:pt idx="2">
                  <c:v>629.79999999999995</c:v>
                </c:pt>
                <c:pt idx="3">
                  <c:v>667.9</c:v>
                </c:pt>
                <c:pt idx="4">
                  <c:v>742.3</c:v>
                </c:pt>
                <c:pt idx="5">
                  <c:v>721.4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B1-4D03-8862-919AD1ACAF99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Aranceles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Hoja1!$A$2:$A$7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Hoja1!$D$2:$D$7</c:f>
              <c:numCache>
                <c:formatCode>#,##0.0</c:formatCode>
                <c:ptCount val="6"/>
                <c:pt idx="0">
                  <c:v>51.3</c:v>
                </c:pt>
                <c:pt idx="1">
                  <c:v>62.6</c:v>
                </c:pt>
                <c:pt idx="2">
                  <c:v>78</c:v>
                </c:pt>
                <c:pt idx="3">
                  <c:v>73.8</c:v>
                </c:pt>
                <c:pt idx="4">
                  <c:v>77.3</c:v>
                </c:pt>
                <c:pt idx="5">
                  <c:v>86.1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B1-4D03-8862-919AD1ACAF99}"/>
            </c:ext>
          </c:extLst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Espec.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Hoja1!$A$2:$A$7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Hoja1!$E$2:$E$7</c:f>
              <c:numCache>
                <c:formatCode>#,##0.0</c:formatCode>
                <c:ptCount val="6"/>
                <c:pt idx="0">
                  <c:v>49.6</c:v>
                </c:pt>
                <c:pt idx="1">
                  <c:v>54.2</c:v>
                </c:pt>
                <c:pt idx="2">
                  <c:v>59.1</c:v>
                </c:pt>
                <c:pt idx="3">
                  <c:v>56</c:v>
                </c:pt>
                <c:pt idx="4">
                  <c:v>58.9</c:v>
                </c:pt>
                <c:pt idx="5">
                  <c:v>56.1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1B1-4D03-8862-919AD1ACAF99}"/>
            </c:ext>
          </c:extLst>
        </c:ser>
        <c:ser>
          <c:idx val="4"/>
          <c:order val="4"/>
          <c:tx>
            <c:strRef>
              <c:f>Hoja1!$F$1</c:f>
              <c:strCache>
                <c:ptCount val="1"/>
                <c:pt idx="0">
                  <c:v>Contrib. Espec.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Hoja1!$A$2:$A$7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Hoja1!$F$2:$F$7</c:f>
              <c:numCache>
                <c:formatCode>#,##0.0</c:formatCode>
                <c:ptCount val="6"/>
                <c:pt idx="0">
                  <c:v>59</c:v>
                </c:pt>
                <c:pt idx="1">
                  <c:v>42.1</c:v>
                </c:pt>
                <c:pt idx="2">
                  <c:v>45.2</c:v>
                </c:pt>
                <c:pt idx="3">
                  <c:v>45.7</c:v>
                </c:pt>
                <c:pt idx="4">
                  <c:v>49.3</c:v>
                </c:pt>
                <c:pt idx="5">
                  <c:v>50.3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1B1-4D03-8862-919AD1ACAF99}"/>
            </c:ext>
          </c:extLst>
        </c:ser>
        <c:ser>
          <c:idx val="5"/>
          <c:order val="5"/>
          <c:tx>
            <c:strRef>
              <c:f>Hoja1!$G$1</c:f>
              <c:strCache>
                <c:ptCount val="1"/>
                <c:pt idx="0">
                  <c:v>Otros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Hoja1!$A$2:$A$7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Hoja1!$G$2:$G$7</c:f>
              <c:numCache>
                <c:formatCode>#,##0.0</c:formatCode>
                <c:ptCount val="6"/>
                <c:pt idx="0">
                  <c:v>10.525</c:v>
                </c:pt>
                <c:pt idx="1">
                  <c:v>12.608000000000001</c:v>
                </c:pt>
                <c:pt idx="2">
                  <c:v>16.100000000000001</c:v>
                </c:pt>
                <c:pt idx="3">
                  <c:v>20.7</c:v>
                </c:pt>
                <c:pt idx="4">
                  <c:v>25.4</c:v>
                </c:pt>
                <c:pt idx="5">
                  <c:v>29.5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1B1-4D03-8862-919AD1ACAF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100"/>
        <c:axId val="218690975"/>
        <c:axId val="2134298591"/>
      </c:barChart>
      <c:lineChart>
        <c:grouping val="standard"/>
        <c:varyColors val="0"/>
        <c:ser>
          <c:idx val="6"/>
          <c:order val="6"/>
          <c:tx>
            <c:strRef>
              <c:f>Hoja1!$H$1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cat>
            <c:numRef>
              <c:f>Hoja1!$A$2:$A$7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Hoja1!$H$2:$H$7</c:f>
              <c:numCache>
                <c:formatCode>#,##0.0</c:formatCode>
                <c:ptCount val="6"/>
                <c:pt idx="0">
                  <c:v>1205.925</c:v>
                </c:pt>
                <c:pt idx="1">
                  <c:v>1306.1079999999997</c:v>
                </c:pt>
                <c:pt idx="2">
                  <c:v>1635.3999999999999</c:v>
                </c:pt>
                <c:pt idx="3">
                  <c:v>1627.7</c:v>
                </c:pt>
                <c:pt idx="4">
                  <c:v>1827.9</c:v>
                </c:pt>
                <c:pt idx="5">
                  <c:v>1885.2999999999997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01B1-4D03-8862-919AD1ACAF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8690975"/>
        <c:axId val="2134298591"/>
      </c:lineChart>
      <c:catAx>
        <c:axId val="2186909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2134298591"/>
        <c:crosses val="autoZero"/>
        <c:auto val="1"/>
        <c:lblAlgn val="ctr"/>
        <c:lblOffset val="100"/>
        <c:noMultiLvlLbl val="0"/>
      </c:catAx>
      <c:valAx>
        <c:axId val="2134298591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218690975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SV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Gasto Corriente</c:v>
                </c:pt>
              </c:strCache>
            </c:strRef>
          </c:tx>
          <c:spPr>
            <a:solidFill>
              <a:schemeClr val="accent5">
                <a:shade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Hoja1!$B$2:$B$7</c:f>
              <c:numCache>
                <c:formatCode>#,##0.0</c:formatCode>
                <c:ptCount val="6"/>
                <c:pt idx="0">
                  <c:v>1503.8</c:v>
                </c:pt>
                <c:pt idx="1">
                  <c:v>1694.4</c:v>
                </c:pt>
                <c:pt idx="2">
                  <c:v>1876.5</c:v>
                </c:pt>
                <c:pt idx="3">
                  <c:v>1857</c:v>
                </c:pt>
                <c:pt idx="4">
                  <c:v>2330.1999999999998</c:v>
                </c:pt>
                <c:pt idx="5">
                  <c:v>2089.4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CD-46EC-9C98-14B6989CE52C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Gasto de Capital</c:v>
                </c:pt>
              </c:strCache>
            </c:strRef>
          </c:tx>
          <c:spPr>
            <a:solidFill>
              <a:schemeClr val="accent5">
                <a:shade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Hoja1!$C$2:$C$7</c:f>
              <c:numCache>
                <c:formatCode>#,##0.0</c:formatCode>
                <c:ptCount val="6"/>
                <c:pt idx="0">
                  <c:v>188.2</c:v>
                </c:pt>
                <c:pt idx="1">
                  <c:v>120.2</c:v>
                </c:pt>
                <c:pt idx="2">
                  <c:v>152.80000000000001</c:v>
                </c:pt>
                <c:pt idx="3">
                  <c:v>242.2</c:v>
                </c:pt>
                <c:pt idx="4">
                  <c:v>204.5</c:v>
                </c:pt>
                <c:pt idx="5">
                  <c:v>372.2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CD-46EC-9C98-14B6989CE5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94533855"/>
        <c:axId val="216230159"/>
      </c:barChart>
      <c:lineChart>
        <c:grouping val="standar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4533855"/>
        <c:axId val="216230159"/>
        <c:extLst>
          <c:ext xmlns:c15="http://schemas.microsoft.com/office/drawing/2012/chart" uri="{02D57815-91ED-43cb-92C2-25804820EDAC}">
            <c15:filteredLine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Hoja1!$D$1</c15:sqref>
                        </c15:formulaRef>
                      </c:ext>
                    </c:extLst>
                    <c:strCache>
                      <c:ptCount val="1"/>
                      <c:pt idx="0">
                        <c:v>Total</c:v>
                      </c:pt>
                    </c:strCache>
                  </c:strRef>
                </c:tx>
                <c:spPr>
                  <a:ln w="28575" cap="rnd">
                    <a:noFill/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Hoja1!$A$2:$A$7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2020</c:v>
                      </c:pt>
                      <c:pt idx="1">
                        <c:v>2021</c:v>
                      </c:pt>
                      <c:pt idx="2">
                        <c:v>2022</c:v>
                      </c:pt>
                      <c:pt idx="3">
                        <c:v>2023</c:v>
                      </c:pt>
                      <c:pt idx="4">
                        <c:v>2024</c:v>
                      </c:pt>
                      <c:pt idx="5">
                        <c:v>2025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Hoja1!$D$2:$D$7</c15:sqref>
                        </c15:formulaRef>
                      </c:ext>
                    </c:extLst>
                    <c:numCache>
                      <c:formatCode>#,##0.0</c:formatCode>
                      <c:ptCount val="6"/>
                      <c:pt idx="0">
                        <c:v>1692</c:v>
                      </c:pt>
                      <c:pt idx="1">
                        <c:v>1814.6000000000001</c:v>
                      </c:pt>
                      <c:pt idx="2">
                        <c:v>2029.3</c:v>
                      </c:pt>
                      <c:pt idx="3">
                        <c:v>2099.1999999999998</c:v>
                      </c:pt>
                      <c:pt idx="4">
                        <c:v>2534.6999999999998</c:v>
                      </c:pt>
                      <c:pt idx="5">
                        <c:v>2461.6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C3CD-46EC-9C98-14B6989CE52C}"/>
                  </c:ext>
                </c:extLst>
              </c15:ser>
            </c15:filteredLineSeries>
          </c:ext>
        </c:extLst>
      </c:lineChart>
      <c:lineChart>
        <c:grouping val="standard"/>
        <c:varyColors val="0"/>
        <c:ser>
          <c:idx val="3"/>
          <c:order val="3"/>
          <c:tx>
            <c:strRef>
              <c:f>Hoja1!$E$1</c:f>
              <c:strCache>
                <c:ptCount val="1"/>
                <c:pt idx="0">
                  <c:v>% PIB (eje der.)</c:v>
                </c:pt>
              </c:strCache>
            </c:strRef>
          </c:tx>
          <c:spPr>
            <a:ln w="28575" cap="rnd">
              <a:solidFill>
                <a:schemeClr val="accent5">
                  <a:tint val="58000"/>
                </a:schemeClr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accent5">
                  <a:tint val="58000"/>
                </a:schemeClr>
              </a:solidFill>
              <a:ln w="9525">
                <a:solidFill>
                  <a:schemeClr val="accent5">
                    <a:tint val="58000"/>
                  </a:scheme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Hoja1!$E$2:$E$7</c:f>
              <c:numCache>
                <c:formatCode>#,##0.0</c:formatCode>
                <c:ptCount val="6"/>
                <c:pt idx="0">
                  <c:v>6.78940291374529</c:v>
                </c:pt>
                <c:pt idx="1">
                  <c:v>6.2479470195027131</c:v>
                </c:pt>
                <c:pt idx="2">
                  <c:v>6.3674102058041857</c:v>
                </c:pt>
                <c:pt idx="3">
                  <c:v>6.2007626890845655</c:v>
                </c:pt>
                <c:pt idx="4">
                  <c:v>7.1672557613459631</c:v>
                </c:pt>
                <c:pt idx="5">
                  <c:v>6.702152279564916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3CD-46EC-9C98-14B6989CE5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12561295"/>
        <c:axId val="211681887"/>
      </c:lineChart>
      <c:catAx>
        <c:axId val="29453385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216230159"/>
        <c:crosses val="autoZero"/>
        <c:auto val="1"/>
        <c:lblAlgn val="ctr"/>
        <c:lblOffset val="100"/>
        <c:noMultiLvlLbl val="0"/>
      </c:catAx>
      <c:valAx>
        <c:axId val="216230159"/>
        <c:scaling>
          <c:orientation val="minMax"/>
          <c:min val="600"/>
        </c:scaling>
        <c:delete val="0"/>
        <c:axPos val="l"/>
        <c:numFmt formatCode="#,##0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294533855"/>
        <c:crosses val="autoZero"/>
        <c:crossBetween val="between"/>
      </c:valAx>
      <c:valAx>
        <c:axId val="211681887"/>
        <c:scaling>
          <c:orientation val="minMax"/>
          <c:min val="2"/>
        </c:scaling>
        <c:delete val="0"/>
        <c:axPos val="r"/>
        <c:numFmt formatCode="#,##0.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2012561295"/>
        <c:crosses val="max"/>
        <c:crossBetween val="between"/>
      </c:valAx>
      <c:catAx>
        <c:axId val="2012561295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11681887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S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SV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Remun.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Hoja1!$A$2:$A$7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Hoja1!$B$2:$B$7</c:f>
              <c:numCache>
                <c:formatCode>#,##0.0</c:formatCode>
                <c:ptCount val="6"/>
                <c:pt idx="0">
                  <c:v>688.5</c:v>
                </c:pt>
                <c:pt idx="1">
                  <c:v>738.9</c:v>
                </c:pt>
                <c:pt idx="2">
                  <c:v>766.2</c:v>
                </c:pt>
                <c:pt idx="3">
                  <c:v>837.8</c:v>
                </c:pt>
                <c:pt idx="4">
                  <c:v>1071.2</c:v>
                </c:pt>
                <c:pt idx="5">
                  <c:v>855.3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03-45C7-A862-E19CB438A243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B y 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Hoja1!$A$2:$A$7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Hoja1!$C$2:$C$7</c:f>
              <c:numCache>
                <c:formatCode>#,##0.0</c:formatCode>
                <c:ptCount val="6"/>
                <c:pt idx="0">
                  <c:v>268.7</c:v>
                </c:pt>
                <c:pt idx="1">
                  <c:v>245.1</c:v>
                </c:pt>
                <c:pt idx="2">
                  <c:v>322.7</c:v>
                </c:pt>
                <c:pt idx="3">
                  <c:v>335.5</c:v>
                </c:pt>
                <c:pt idx="4">
                  <c:v>391.4</c:v>
                </c:pt>
                <c:pt idx="5">
                  <c:v>391.6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03-45C7-A862-E19CB438A243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Transf. Ctes.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Hoja1!$A$2:$A$7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Hoja1!$D$2:$D$7</c:f>
              <c:numCache>
                <c:formatCode>#,##0.0</c:formatCode>
                <c:ptCount val="6"/>
                <c:pt idx="0">
                  <c:v>221.2</c:v>
                </c:pt>
                <c:pt idx="1">
                  <c:v>289.3</c:v>
                </c:pt>
                <c:pt idx="2">
                  <c:v>323</c:v>
                </c:pt>
                <c:pt idx="3">
                  <c:v>262.10000000000002</c:v>
                </c:pt>
                <c:pt idx="4">
                  <c:v>400.3</c:v>
                </c:pt>
                <c:pt idx="5">
                  <c:v>411.1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03-45C7-A862-E19CB438A243}"/>
            </c:ext>
          </c:extLst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Intereses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Hoja1!$A$2:$A$7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Hoja1!$E$2:$E$7</c:f>
              <c:numCache>
                <c:formatCode>#,##0.0</c:formatCode>
                <c:ptCount val="6"/>
                <c:pt idx="0">
                  <c:v>325.39999999999998</c:v>
                </c:pt>
                <c:pt idx="1">
                  <c:v>421</c:v>
                </c:pt>
                <c:pt idx="2">
                  <c:v>464.6</c:v>
                </c:pt>
                <c:pt idx="3">
                  <c:v>421.5</c:v>
                </c:pt>
                <c:pt idx="4">
                  <c:v>467.3</c:v>
                </c:pt>
                <c:pt idx="5">
                  <c:v>431.5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903-45C7-A862-E19CB438A2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94539055"/>
        <c:axId val="216193791"/>
      </c:barChart>
      <c:lineChart>
        <c:grouping val="standard"/>
        <c:varyColors val="0"/>
        <c:ser>
          <c:idx val="4"/>
          <c:order val="4"/>
          <c:tx>
            <c:strRef>
              <c:f>Hoja1!$F$1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cat>
            <c:numRef>
              <c:f>Hoja1!$A$2:$A$7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Hoja1!$F$2:$F$7</c:f>
              <c:numCache>
                <c:formatCode>#,##0.0</c:formatCode>
                <c:ptCount val="6"/>
                <c:pt idx="0">
                  <c:v>1503.8000000000002</c:v>
                </c:pt>
                <c:pt idx="1">
                  <c:v>1694.3</c:v>
                </c:pt>
                <c:pt idx="2">
                  <c:v>1876.5</c:v>
                </c:pt>
                <c:pt idx="3">
                  <c:v>1856.9</c:v>
                </c:pt>
                <c:pt idx="4">
                  <c:v>2330.1999999999998</c:v>
                </c:pt>
                <c:pt idx="5">
                  <c:v>2089.5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903-45C7-A862-E19CB438A2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4539055"/>
        <c:axId val="216193791"/>
      </c:lineChart>
      <c:catAx>
        <c:axId val="2945390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216193791"/>
        <c:crosses val="autoZero"/>
        <c:auto val="1"/>
        <c:lblAlgn val="ctr"/>
        <c:lblOffset val="100"/>
        <c:noMultiLvlLbl val="0"/>
      </c:catAx>
      <c:valAx>
        <c:axId val="216193791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294539055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S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SV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Inversión</c:v>
                </c:pt>
              </c:strCache>
            </c:strRef>
          </c:tx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Hoja1!$B$2:$B$7</c:f>
              <c:numCache>
                <c:formatCode>#,##0.0</c:formatCode>
                <c:ptCount val="6"/>
                <c:pt idx="0">
                  <c:v>175.46780471382942</c:v>
                </c:pt>
                <c:pt idx="1">
                  <c:v>93.81091656000001</c:v>
                </c:pt>
                <c:pt idx="2">
                  <c:v>116.94349699708205</c:v>
                </c:pt>
                <c:pt idx="3">
                  <c:v>223.5</c:v>
                </c:pt>
                <c:pt idx="4">
                  <c:v>186.8</c:v>
                </c:pt>
                <c:pt idx="5">
                  <c:v>328.8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94-4602-AFC3-6109CF599253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5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numRef>
              <c:f>Hoja1!$A$2:$A$7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Hoja1!$D$2:$D$7</c:f>
            </c:numRef>
          </c:val>
          <c:extLst>
            <c:ext xmlns:c16="http://schemas.microsoft.com/office/drawing/2014/chart" uri="{C3380CC4-5D6E-409C-BE32-E72D297353CC}">
              <c16:uniqueId val="{00000001-DD94-4602-AFC3-6109CF5992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253214815"/>
        <c:axId val="216197535"/>
      </c:barChart>
      <c:lineChart>
        <c:grouping val="standard"/>
        <c:varyColors val="0"/>
        <c:ser>
          <c:idx val="1"/>
          <c:order val="1"/>
          <c:tx>
            <c:strRef>
              <c:f>Hoja1!$C$1</c:f>
              <c:strCache>
                <c:ptCount val="1"/>
                <c:pt idx="0">
                  <c:v>% del PIB (eje der.)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Hoja1!$C$2:$C$7</c:f>
              <c:numCache>
                <c:formatCode>#,##0.0</c:formatCode>
                <c:ptCount val="6"/>
                <c:pt idx="0">
                  <c:v>0.70409079467645586</c:v>
                </c:pt>
                <c:pt idx="1">
                  <c:v>0.3230054207637329</c:v>
                </c:pt>
                <c:pt idx="2">
                  <c:v>0.36693796692536912</c:v>
                </c:pt>
                <c:pt idx="3">
                  <c:v>0.66018981564900936</c:v>
                </c:pt>
                <c:pt idx="4">
                  <c:v>0.52820585324473357</c:v>
                </c:pt>
                <c:pt idx="5">
                  <c:v>0.89521761030262603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D94-4602-AFC3-6109CF5992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0526991"/>
        <c:axId val="2016734207"/>
      </c:lineChart>
      <c:catAx>
        <c:axId val="25321481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216197535"/>
        <c:crosses val="autoZero"/>
        <c:auto val="1"/>
        <c:lblAlgn val="ctr"/>
        <c:lblOffset val="100"/>
        <c:noMultiLvlLbl val="0"/>
      </c:catAx>
      <c:valAx>
        <c:axId val="216197535"/>
        <c:scaling>
          <c:orientation val="minMax"/>
          <c:min val="20"/>
        </c:scaling>
        <c:delete val="0"/>
        <c:axPos val="l"/>
        <c:numFmt formatCode="#,##0.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253214815"/>
        <c:crosses val="autoZero"/>
        <c:crossBetween val="between"/>
      </c:valAx>
      <c:valAx>
        <c:axId val="2016734207"/>
        <c:scaling>
          <c:orientation val="minMax"/>
        </c:scaling>
        <c:delete val="0"/>
        <c:axPos val="r"/>
        <c:numFmt formatCode="#,##0.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260526991"/>
        <c:crosses val="max"/>
        <c:crossBetween val="between"/>
      </c:valAx>
      <c:catAx>
        <c:axId val="260526991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016734207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S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SV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Deuda sin pensiones</c:v>
                </c:pt>
              </c:strCache>
            </c:strRef>
          </c:tx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Hoja1!$A$2:$A$7</c:f>
              <c:strCach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Mar. 2025</c:v>
                </c:pt>
              </c:strCache>
            </c:strRef>
          </c:cat>
          <c:val>
            <c:numRef>
              <c:f>Hoja1!$B$2:$B$7</c:f>
              <c:numCache>
                <c:formatCode>0.0%</c:formatCode>
                <c:ptCount val="6"/>
                <c:pt idx="0">
                  <c:v>0.57014933877555607</c:v>
                </c:pt>
                <c:pt idx="1">
                  <c:v>0.56283170483632283</c:v>
                </c:pt>
                <c:pt idx="2">
                  <c:v>0.5509992124279498</c:v>
                </c:pt>
                <c:pt idx="3">
                  <c:v>0.52480511846493316</c:v>
                </c:pt>
                <c:pt idx="4">
                  <c:v>0.57605542202742832</c:v>
                </c:pt>
                <c:pt idx="5">
                  <c:v>0.55852267312849702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85-4C0C-B080-4473C3B378A4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Pensiones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Hoja1!$A$2:$A$7</c:f>
              <c:strCach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Mar. 2025</c:v>
                </c:pt>
              </c:strCache>
            </c:strRef>
          </c:cat>
          <c:val>
            <c:numRef>
              <c:f>Hoja1!$C$2:$C$7</c:f>
              <c:numCache>
                <c:formatCode>0.0%</c:formatCode>
                <c:ptCount val="6"/>
                <c:pt idx="0">
                  <c:v>0.29866551316369738</c:v>
                </c:pt>
                <c:pt idx="1">
                  <c:v>0.19345704355658511</c:v>
                </c:pt>
                <c:pt idx="2">
                  <c:v>0.19460873985334204</c:v>
                </c:pt>
                <c:pt idx="3">
                  <c:v>0.28045808606984712</c:v>
                </c:pt>
                <c:pt idx="4">
                  <c:v>0.29766718506998435</c:v>
                </c:pt>
                <c:pt idx="5">
                  <c:v>0.29124794097226936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85-4C0C-B080-4473C3B378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2134462959"/>
        <c:axId val="206528879"/>
      </c:barChart>
      <c:lineChart>
        <c:grouping val="standard"/>
        <c:varyColors val="0"/>
        <c:ser>
          <c:idx val="2"/>
          <c:order val="2"/>
          <c:tx>
            <c:strRef>
              <c:f>Hoja1!$D$1</c:f>
              <c:strCache>
                <c:ptCount val="1"/>
                <c:pt idx="0">
                  <c:v>Deuda 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Hoja1!$A$2:$A$7</c:f>
              <c:strCach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Mar. 2025</c:v>
                </c:pt>
              </c:strCache>
            </c:strRef>
          </c:cat>
          <c:val>
            <c:numRef>
              <c:f>Hoja1!$D$2:$D$7</c:f>
              <c:numCache>
                <c:formatCode>0.0%</c:formatCode>
                <c:ptCount val="6"/>
                <c:pt idx="0">
                  <c:v>0.86881485193925345</c:v>
                </c:pt>
                <c:pt idx="1">
                  <c:v>0.75628874839290794</c:v>
                </c:pt>
                <c:pt idx="2">
                  <c:v>0.74560795228129184</c:v>
                </c:pt>
                <c:pt idx="3">
                  <c:v>0.80526320453478029</c:v>
                </c:pt>
                <c:pt idx="4">
                  <c:v>0.87372260709741267</c:v>
                </c:pt>
                <c:pt idx="5">
                  <c:v>0.84977061410076637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185-4C0C-B080-4473C3B378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134462959"/>
        <c:axId val="206528879"/>
      </c:lineChart>
      <c:catAx>
        <c:axId val="21344629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206528879"/>
        <c:crosses val="autoZero"/>
        <c:auto val="1"/>
        <c:lblAlgn val="ctr"/>
        <c:lblOffset val="100"/>
        <c:noMultiLvlLbl val="0"/>
      </c:catAx>
      <c:valAx>
        <c:axId val="206528879"/>
        <c:scaling>
          <c:orientation val="minMax"/>
          <c:min val="0.1"/>
        </c:scaling>
        <c:delete val="0"/>
        <c:axPos val="l"/>
        <c:numFmt formatCode="0%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21344629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S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SV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Balance primario  c/pensiones</c:v>
                </c:pt>
              </c:strCache>
            </c:strRef>
          </c:tx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Hoja1!$B$2:$B$7</c:f>
              <c:numCache>
                <c:formatCode>#,##0.0</c:formatCode>
                <c:ptCount val="6"/>
                <c:pt idx="0">
                  <c:v>102.7</c:v>
                </c:pt>
                <c:pt idx="1">
                  <c:v>96.8</c:v>
                </c:pt>
                <c:pt idx="2">
                  <c:v>279.8</c:v>
                </c:pt>
                <c:pt idx="3">
                  <c:v>136.19999999999999</c:v>
                </c:pt>
                <c:pt idx="4">
                  <c:v>111.7</c:v>
                </c:pt>
                <c:pt idx="5">
                  <c:v>206.7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66-4035-99D1-158BEBC745EE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5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numRef>
              <c:f>Hoja1!$A$2:$A$7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Hoja1!$D$2:$D$7</c:f>
            </c:numRef>
          </c:val>
          <c:extLst>
            <c:ext xmlns:c16="http://schemas.microsoft.com/office/drawing/2014/chart" uri="{C3380CC4-5D6E-409C-BE32-E72D297353CC}">
              <c16:uniqueId val="{00000001-1466-4035-99D1-158BEBC745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294567055"/>
        <c:axId val="2136635999"/>
      </c:barChart>
      <c:lineChart>
        <c:grouping val="standard"/>
        <c:varyColors val="0"/>
        <c:ser>
          <c:idx val="1"/>
          <c:order val="1"/>
          <c:tx>
            <c:strRef>
              <c:f>Hoja1!$C$1</c:f>
              <c:strCache>
                <c:ptCount val="1"/>
                <c:pt idx="0">
                  <c:v>Balance primario  c/pensiones % PIB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square"/>
            <c:size val="7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Hoja1!$C$2:$C$7</c:f>
              <c:numCache>
                <c:formatCode>#,##0.0</c:formatCode>
                <c:ptCount val="6"/>
                <c:pt idx="0">
                  <c:v>0.41209910120664384</c:v>
                </c:pt>
                <c:pt idx="1">
                  <c:v>0.33329729498945365</c:v>
                </c:pt>
                <c:pt idx="2">
                  <c:v>0.87793888315380253</c:v>
                </c:pt>
                <c:pt idx="3">
                  <c:v>0.40231701517402718</c:v>
                </c:pt>
                <c:pt idx="4">
                  <c:v>0.31584900325180265</c:v>
                </c:pt>
                <c:pt idx="5">
                  <c:v>0.56277822399499022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466-4035-99D1-158BEBC745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5759887"/>
        <c:axId val="1948187407"/>
      </c:lineChart>
      <c:catAx>
        <c:axId val="29456705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2136635999"/>
        <c:crosses val="autoZero"/>
        <c:auto val="1"/>
        <c:lblAlgn val="ctr"/>
        <c:lblOffset val="100"/>
        <c:noMultiLvlLbl val="0"/>
      </c:catAx>
      <c:valAx>
        <c:axId val="2136635999"/>
        <c:scaling>
          <c:orientation val="minMax"/>
          <c:max val="4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SV" sz="900"/>
                  <a:t>Millones US$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SV"/>
            </a:p>
          </c:txPr>
        </c:title>
        <c:numFmt formatCode="#,##0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294567055"/>
        <c:crosses val="autoZero"/>
        <c:crossBetween val="between"/>
      </c:valAx>
      <c:valAx>
        <c:axId val="1948187407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SV" sz="900"/>
                  <a:t>Porcentaje del PIB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SV"/>
            </a:p>
          </c:txPr>
        </c:title>
        <c:numFmt formatCode="#,##0.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265759887"/>
        <c:crosses val="max"/>
        <c:crossBetween val="between"/>
        <c:majorUnit val="0.2"/>
      </c:valAx>
      <c:catAx>
        <c:axId val="26575988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48187407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S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s-SV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Déficit c/pensiones</c:v>
                </c:pt>
              </c:strCache>
            </c:strRef>
          </c:tx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Hoja1!$B$2:$B$7</c:f>
              <c:numCache>
                <c:formatCode>#,##0.0</c:formatCode>
                <c:ptCount val="6"/>
                <c:pt idx="0">
                  <c:v>-222.6</c:v>
                </c:pt>
                <c:pt idx="1">
                  <c:v>-324.2</c:v>
                </c:pt>
                <c:pt idx="2">
                  <c:v>-184.8</c:v>
                </c:pt>
                <c:pt idx="3">
                  <c:v>-366.2</c:v>
                </c:pt>
                <c:pt idx="4">
                  <c:v>-355.6</c:v>
                </c:pt>
                <c:pt idx="5">
                  <c:v>-224.7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C2-4883-8E17-6DD66B011BF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5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numRef>
              <c:f>Hoja1!$A$2:$A$7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Hoja1!$D$2:$D$7</c:f>
            </c:numRef>
          </c:val>
          <c:extLst>
            <c:ext xmlns:c16="http://schemas.microsoft.com/office/drawing/2014/chart" uri="{C3380CC4-5D6E-409C-BE32-E72D297353CC}">
              <c16:uniqueId val="{00000001-E0C2-4883-8E17-6DD66B011B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294567055"/>
        <c:axId val="2136635999"/>
      </c:barChart>
      <c:lineChart>
        <c:grouping val="standard"/>
        <c:varyColors val="0"/>
        <c:ser>
          <c:idx val="1"/>
          <c:order val="1"/>
          <c:tx>
            <c:strRef>
              <c:f>Hoja1!$C$1</c:f>
              <c:strCache>
                <c:ptCount val="1"/>
                <c:pt idx="0">
                  <c:v>Déficit c/pensiones % PIB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square"/>
            <c:size val="7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Hoja1!$C$2:$C$7</c:f>
              <c:numCache>
                <c:formatCode>#,##0.0</c:formatCode>
                <c:ptCount val="6"/>
                <c:pt idx="0">
                  <c:v>-0.89321577340407909</c:v>
                </c:pt>
                <c:pt idx="1">
                  <c:v>-1.116270485904761</c:v>
                </c:pt>
                <c:pt idx="2">
                  <c:v>-0.57985384419879449</c:v>
                </c:pt>
                <c:pt idx="3">
                  <c:v>-1.0817069820611509</c:v>
                </c:pt>
                <c:pt idx="4">
                  <c:v>-1.0055139261982187</c:v>
                </c:pt>
                <c:pt idx="5">
                  <c:v>-0.61178648733272523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0C2-4883-8E17-6DD66B011B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5759887"/>
        <c:axId val="1948187407"/>
      </c:lineChart>
      <c:catAx>
        <c:axId val="29456705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high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2136635999"/>
        <c:crosses val="autoZero"/>
        <c:auto val="1"/>
        <c:lblAlgn val="ctr"/>
        <c:lblOffset val="100"/>
        <c:noMultiLvlLbl val="0"/>
      </c:catAx>
      <c:valAx>
        <c:axId val="2136635999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SV" sz="900"/>
                  <a:t>Millones US$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SV"/>
            </a:p>
          </c:txPr>
        </c:title>
        <c:numFmt formatCode="#,##0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294567055"/>
        <c:crosses val="autoZero"/>
        <c:crossBetween val="between"/>
      </c:valAx>
      <c:valAx>
        <c:axId val="1948187407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SV" sz="900"/>
                  <a:t>Porcentaje del PIB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SV"/>
            </a:p>
          </c:txPr>
        </c:title>
        <c:numFmt formatCode="#,##0.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265759887"/>
        <c:crosses val="max"/>
        <c:crossBetween val="between"/>
      </c:valAx>
      <c:catAx>
        <c:axId val="26575988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48187407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S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s-S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5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7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8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9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056E6-8614-4BF8-A2AA-23AB66D4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2868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Hacienda</Company>
  <LinksUpToDate>false</LinksUpToDate>
  <CharactersWithSpaces>18606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Fermin Garcia Canas</dc:creator>
  <cp:keywords/>
  <dc:description/>
  <cp:lastModifiedBy>Fermin Garcia Canas</cp:lastModifiedBy>
  <cp:revision>5</cp:revision>
  <cp:lastPrinted>2025-08-18T17:07:00Z</cp:lastPrinted>
  <dcterms:created xsi:type="dcterms:W3CDTF">2025-08-18T14:28:00Z</dcterms:created>
  <dcterms:modified xsi:type="dcterms:W3CDTF">2025-08-18T17:08:00Z</dcterms:modified>
</cp:coreProperties>
</file>