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  <w:bookmarkStart w:id="0" w:name="_GoBack"/>
      <w:bookmarkEnd w:id="0"/>
    </w:p>
    <w:p w:rsidR="008274EB" w:rsidRPr="00CD1FD1" w:rsidRDefault="00AF4C2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CD1FD1">
        <w:rPr>
          <w:rFonts w:ascii="Museo Sans 300" w:hAnsi="Museo Sans 30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1A034666" wp14:editId="0AB07579">
            <wp:simplePos x="0" y="0"/>
            <wp:positionH relativeFrom="margin">
              <wp:posOffset>-178132</wp:posOffset>
            </wp:positionH>
            <wp:positionV relativeFrom="paragraph">
              <wp:posOffset>89172</wp:posOffset>
            </wp:positionV>
            <wp:extent cx="6315699" cy="8160011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37" cy="8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593A7A" w:rsidP="00593A7A">
      <w:pPr>
        <w:tabs>
          <w:tab w:val="left" w:pos="0"/>
          <w:tab w:val="left" w:pos="9214"/>
        </w:tabs>
        <w:autoSpaceDE w:val="0"/>
        <w:autoSpaceDN w:val="0"/>
        <w:adjustRightInd w:val="0"/>
        <w:ind w:left="3240" w:hanging="4658"/>
        <w:jc w:val="center"/>
        <w:rPr>
          <w:rFonts w:ascii="Museo Sans 300" w:hAnsi="Museo Sans 300"/>
          <w:b/>
          <w:sz w:val="22"/>
          <w:szCs w:val="22"/>
        </w:rPr>
      </w:pPr>
      <w:r>
        <w:rPr>
          <w:rFonts w:ascii="Museo Sans 300" w:hAnsi="Museo Sans 300"/>
          <w:b/>
          <w:sz w:val="22"/>
          <w:szCs w:val="22"/>
        </w:rPr>
        <w:t xml:space="preserve">           </w:t>
      </w:r>
      <w:r w:rsidR="00BE54F5" w:rsidRPr="00CD1FD1">
        <w:rPr>
          <w:rFonts w:ascii="Museo Sans 300" w:hAnsi="Museo Sans 300"/>
          <w:b/>
          <w:sz w:val="22"/>
          <w:szCs w:val="22"/>
        </w:rPr>
        <w:t xml:space="preserve">INFORME </w:t>
      </w:r>
      <w:r w:rsidR="005768FD" w:rsidRPr="00CD1FD1">
        <w:rPr>
          <w:rFonts w:ascii="Museo Sans 300" w:hAnsi="Museo Sans 300"/>
          <w:b/>
          <w:sz w:val="22"/>
          <w:szCs w:val="22"/>
        </w:rPr>
        <w:t xml:space="preserve">PRELIMINAR </w:t>
      </w:r>
      <w:r w:rsidR="00BE54F5" w:rsidRPr="00CD1FD1">
        <w:rPr>
          <w:rFonts w:ascii="Museo Sans 300" w:hAnsi="Museo Sans 300"/>
          <w:b/>
          <w:sz w:val="22"/>
          <w:szCs w:val="22"/>
        </w:rPr>
        <w:t xml:space="preserve">DE GESTION DE LAS FINANZAS </w:t>
      </w:r>
      <w:r w:rsidR="00BF251D" w:rsidRPr="00CD1FD1">
        <w:rPr>
          <w:rFonts w:ascii="Museo Sans 300" w:hAnsi="Museo Sans 300"/>
          <w:b/>
          <w:sz w:val="22"/>
          <w:szCs w:val="22"/>
        </w:rPr>
        <w:t>PÚBLICAS</w:t>
      </w: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CD1FD1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CD1FD1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CD1FD1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1E1C63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CD1FD1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5767D6" w:rsidRPr="00CD1FD1">
        <w:rPr>
          <w:rFonts w:ascii="Museo Sans 300" w:hAnsi="Museo Sans 300"/>
          <w:b/>
          <w:bCs/>
          <w:sz w:val="22"/>
          <w:szCs w:val="22"/>
        </w:rPr>
        <w:t>A</w:t>
      </w:r>
      <w:r w:rsidR="00065616" w:rsidRPr="00CD1FD1">
        <w:rPr>
          <w:rFonts w:ascii="Museo Sans 300" w:hAnsi="Museo Sans 300"/>
          <w:b/>
          <w:bCs/>
          <w:sz w:val="22"/>
          <w:szCs w:val="22"/>
        </w:rPr>
        <w:t>l mes de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6E1D43">
        <w:rPr>
          <w:rFonts w:ascii="Museo Sans 300" w:hAnsi="Museo Sans 300"/>
          <w:b/>
          <w:bCs/>
          <w:sz w:val="22"/>
          <w:szCs w:val="22"/>
        </w:rPr>
        <w:t>septiembre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de </w:t>
      </w:r>
      <w:r w:rsidR="00042C94" w:rsidRPr="00CD1FD1">
        <w:rPr>
          <w:rFonts w:ascii="Museo Sans 300" w:hAnsi="Museo Sans 300"/>
          <w:b/>
          <w:bCs/>
          <w:sz w:val="22"/>
          <w:szCs w:val="22"/>
        </w:rPr>
        <w:t>202</w:t>
      </w:r>
      <w:r w:rsidR="0064579A" w:rsidRPr="00CD1FD1">
        <w:rPr>
          <w:rFonts w:ascii="Museo Sans 300" w:hAnsi="Museo Sans 300"/>
          <w:b/>
          <w:bCs/>
          <w:sz w:val="22"/>
          <w:szCs w:val="22"/>
        </w:rPr>
        <w:t>2</w:t>
      </w: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CD1FD1">
        <w:rPr>
          <w:rFonts w:ascii="Museo Sans 300" w:hAnsi="Museo Sans 300"/>
          <w:b/>
          <w:bCs/>
          <w:sz w:val="22"/>
          <w:szCs w:val="22"/>
        </w:rPr>
        <w:t xml:space="preserve">San Salvador, </w:t>
      </w:r>
      <w:r w:rsidR="00283934">
        <w:rPr>
          <w:rFonts w:ascii="Museo Sans 300" w:hAnsi="Museo Sans 300"/>
          <w:b/>
          <w:bCs/>
          <w:sz w:val="22"/>
          <w:szCs w:val="22"/>
        </w:rPr>
        <w:t>noviembre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de </w:t>
      </w:r>
      <w:r w:rsidR="00042C94" w:rsidRPr="00CD1FD1">
        <w:rPr>
          <w:rFonts w:ascii="Museo Sans 300" w:hAnsi="Museo Sans 300"/>
          <w:b/>
          <w:bCs/>
          <w:sz w:val="22"/>
          <w:szCs w:val="22"/>
        </w:rPr>
        <w:t>202</w:t>
      </w:r>
      <w:r w:rsidR="0064579A" w:rsidRPr="00CD1FD1">
        <w:rPr>
          <w:rFonts w:ascii="Museo Sans 300" w:hAnsi="Museo Sans 300"/>
          <w:b/>
          <w:bCs/>
          <w:sz w:val="22"/>
          <w:szCs w:val="22"/>
        </w:rPr>
        <w:t>2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</w:t>
      </w: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F43C4A" w:rsidRPr="00CD1FD1" w:rsidRDefault="00F43C4A" w:rsidP="00F43C4A">
      <w:pPr>
        <w:rPr>
          <w:rFonts w:ascii="Museo Sans 300" w:hAnsi="Museo Sans 300"/>
          <w:sz w:val="22"/>
          <w:szCs w:val="22"/>
          <w:lang w:val="es-MX"/>
        </w:rPr>
      </w:pPr>
      <w:bookmarkStart w:id="1" w:name="_Toc505951453"/>
    </w:p>
    <w:p w:rsidR="00D43064" w:rsidRDefault="00D43064">
      <w:bookmarkStart w:id="2" w:name="_Toc388257452"/>
      <w:bookmarkStart w:id="3" w:name="_Toc319049207"/>
      <w:bookmarkStart w:id="4" w:name="_Toc308681661"/>
      <w:bookmarkStart w:id="5" w:name="_Hlk112070927"/>
      <w:bookmarkEnd w:id="1"/>
      <w:r>
        <w:br w:type="page"/>
      </w:r>
    </w:p>
    <w:tbl>
      <w:tblPr>
        <w:tblW w:w="11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  <w:gridCol w:w="177"/>
        <w:gridCol w:w="258"/>
        <w:gridCol w:w="258"/>
        <w:gridCol w:w="845"/>
      </w:tblGrid>
      <w:tr w:rsidR="000F2598" w:rsidRPr="00CD1FD1" w:rsidTr="00860DE7">
        <w:trPr>
          <w:trHeight w:val="9725"/>
        </w:trPr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sdt>
            <w:sdtPr>
              <w:rPr>
                <w:rFonts w:ascii="Museo Sans 300" w:hAnsi="Museo Sans 300"/>
                <w:sz w:val="22"/>
                <w:szCs w:val="22"/>
                <w:lang w:val="es-MX"/>
              </w:rPr>
              <w:id w:val="52439633"/>
              <w:docPartObj>
                <w:docPartGallery w:val="Table of Contents"/>
                <w:docPartUnique/>
              </w:docPartObj>
            </w:sdtPr>
            <w:sdtEndPr/>
            <w:sdtContent>
              <w:p w:rsidR="006B1211" w:rsidRPr="009E5691" w:rsidRDefault="006B1211" w:rsidP="009E5691">
                <w:pPr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9E5691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t>Contenido</w:t>
                </w:r>
              </w:p>
              <w:p w:rsidR="00CA038A" w:rsidRDefault="00CA038A">
                <w:pPr>
                  <w:pStyle w:val="TOC1"/>
                  <w:tabs>
                    <w:tab w:val="right" w:leader="dot" w:pos="9394"/>
                  </w:tabs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</w:p>
              <w:p w:rsidR="0096209A" w:rsidRDefault="006B1211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r w:rsidRPr="009E5691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begin"/>
                </w:r>
                <w:r w:rsidRPr="009E5691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instrText xml:space="preserve"> TOC \o "1-3" \h \z \u </w:instrText>
                </w:r>
                <w:r w:rsidRPr="009E5691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separate"/>
                </w:r>
                <w:hyperlink w:anchor="_Toc116389128" w:history="1"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>RESUMEN EJECUTIVO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_Toc116389128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3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29" w:history="1"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 xml:space="preserve">I.  La ejecución financiera del Sector Público No Financiero (SPNF) a </w:t>
                  </w:r>
                  <w:r w:rsidR="006E1D4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>septiembre</w:t>
                  </w:r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 xml:space="preserve"> 2022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_Toc116389129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3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0" w:history="1"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>II. Entorno Macroeconómico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_Toc116389130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4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1" w:history="1"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>GESTION DE LAS FINANZAS PÚBLICAS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_Toc116389131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6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2" w:history="1"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>1. Ingresos Totales del SPNF (ver anexo 3).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_Toc116389132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6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3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1.1 Ingresos Tributarios y Contribuciones Especiales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_Toc116389133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6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4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1.2 Ingresos no Tributarios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_Toc116389134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11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5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1.3 Superávit de las Empresas Públicas No Financieras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_Toc116389135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11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6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1.4 Donaciones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_Toc116389136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11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7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2. Gastos del Sector Público No Financiero</w:t>
                  </w:r>
                  <w:r w:rsidR="0096209A" w:rsidRPr="00C52F83">
                    <w:rPr>
                      <w:rStyle w:val="Hyperlink"/>
                      <w:rFonts w:ascii="Museo Sans 300" w:hAnsi="Museo Sans 300"/>
                      <w:noProof/>
                      <w:lang w:val="es-MX"/>
                    </w:rPr>
                    <w:t xml:space="preserve"> (ver anexo 1 y 2)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_Toc116389137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11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8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2.1 Gastos corrientes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_Toc116389138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12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9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3. Deuda del SPNF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_Toc116389139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17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0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3.1 Deuda Interna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_Toc116389140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18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1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3.2 Deuda Externa.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_Toc116389141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18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2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3.3 Servicio de la deuda del SPNF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_Toc116389142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19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3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4. Resultados Globales del SPNF (ver anexo 1 y 2)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_Toc116389143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19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4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4.1 Balance Primario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_Toc116389144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19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5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4.2 Balance global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_Toc116389145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20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96209A" w:rsidRDefault="00CD2BA3">
                <w:pPr>
                  <w:pStyle w:val="TO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6" w:history="1">
                  <w:r w:rsidR="0096209A" w:rsidRPr="00C52F83">
                    <w:rPr>
                      <w:rStyle w:val="Hyperlink"/>
                      <w:rFonts w:ascii="Museo Sans 300" w:hAnsi="Museo Sans 300"/>
                      <w:b/>
                      <w:noProof/>
                      <w:lang w:val="es-MX"/>
                    </w:rPr>
                    <w:t>5. ANEXOS</w:t>
                  </w:r>
                  <w:r w:rsidR="0096209A">
                    <w:rPr>
                      <w:noProof/>
                      <w:webHidden/>
                    </w:rPr>
                    <w:tab/>
                  </w:r>
                  <w:r w:rsidR="0096209A">
                    <w:rPr>
                      <w:noProof/>
                      <w:webHidden/>
                    </w:rPr>
                    <w:fldChar w:fldCharType="begin"/>
                  </w:r>
                  <w:r w:rsidR="0096209A">
                    <w:rPr>
                      <w:noProof/>
                      <w:webHidden/>
                    </w:rPr>
                    <w:instrText xml:space="preserve"> PAGEREF _Toc116389146 \h </w:instrText>
                  </w:r>
                  <w:r w:rsidR="0096209A">
                    <w:rPr>
                      <w:noProof/>
                      <w:webHidden/>
                    </w:rPr>
                  </w:r>
                  <w:r w:rsidR="0096209A">
                    <w:rPr>
                      <w:noProof/>
                      <w:webHidden/>
                    </w:rPr>
                    <w:fldChar w:fldCharType="separate"/>
                  </w:r>
                  <w:r w:rsidR="00CC5453">
                    <w:rPr>
                      <w:noProof/>
                      <w:webHidden/>
                    </w:rPr>
                    <w:t>22</w:t>
                  </w:r>
                  <w:r w:rsidR="0096209A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B1211" w:rsidRPr="009E5691" w:rsidRDefault="006B1211" w:rsidP="009E5691">
                <w:pPr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9E5691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end"/>
                </w:r>
              </w:p>
            </w:sdtContent>
          </w:sdt>
          <w:p w:rsidR="006B1211" w:rsidRPr="009E569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9E569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9E569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9E5691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9E5691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9E5691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9E5691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9E5691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9E5691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85376" w:rsidRPr="009E5691" w:rsidRDefault="0008537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93A7A" w:rsidRPr="009E5691" w:rsidRDefault="00593A7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9E5691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C22FD" w:rsidRDefault="006B1211" w:rsidP="00CC22FD">
            <w:pPr>
              <w:pStyle w:val="Heading2"/>
              <w:jc w:val="center"/>
              <w:rPr>
                <w:rFonts w:ascii="Museo Sans 300" w:hAnsi="Museo Sans 300"/>
                <w:sz w:val="24"/>
                <w:szCs w:val="24"/>
                <w:lang w:val="es-MX"/>
              </w:rPr>
            </w:pPr>
            <w:bookmarkStart w:id="6" w:name="_Toc56581203"/>
            <w:bookmarkStart w:id="7" w:name="_Toc116389128"/>
            <w:r w:rsidRPr="00CC22FD">
              <w:rPr>
                <w:rFonts w:ascii="Museo Sans 300" w:hAnsi="Museo Sans 300"/>
                <w:sz w:val="24"/>
                <w:szCs w:val="24"/>
                <w:lang w:val="es-MX"/>
              </w:rPr>
              <w:lastRenderedPageBreak/>
              <w:t>RESUMEN EJECUTIVO</w:t>
            </w:r>
            <w:bookmarkEnd w:id="6"/>
            <w:bookmarkEnd w:id="7"/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3D4C8A" w:rsidRDefault="006B1211" w:rsidP="00CF2567">
            <w:pPr>
              <w:pStyle w:val="Heading2"/>
              <w:ind w:left="330" w:hanging="330"/>
              <w:rPr>
                <w:rFonts w:ascii="Museo Sans 300" w:hAnsi="Museo Sans 300"/>
                <w:sz w:val="24"/>
                <w:szCs w:val="24"/>
                <w:lang w:val="es-MX"/>
              </w:rPr>
            </w:pPr>
            <w:bookmarkStart w:id="8" w:name="_Toc116389129"/>
            <w:r w:rsidRPr="003D4C8A">
              <w:rPr>
                <w:rFonts w:ascii="Museo Sans 300" w:hAnsi="Museo Sans 300"/>
                <w:sz w:val="24"/>
                <w:szCs w:val="24"/>
                <w:lang w:val="es-MX"/>
              </w:rPr>
              <w:t xml:space="preserve">I.  La ejecución financiera del Sector Público No Financiero (SPNF) </w:t>
            </w:r>
            <w:r w:rsidR="00355D4B" w:rsidRPr="003D4C8A">
              <w:rPr>
                <w:rFonts w:ascii="Museo Sans 300" w:hAnsi="Museo Sans 300"/>
                <w:sz w:val="24"/>
                <w:szCs w:val="24"/>
                <w:lang w:val="es-MX"/>
              </w:rPr>
              <w:t xml:space="preserve">a </w:t>
            </w:r>
            <w:r w:rsidR="006E1D43">
              <w:rPr>
                <w:rFonts w:ascii="Museo Sans 300" w:hAnsi="Museo Sans 300"/>
                <w:sz w:val="24"/>
                <w:szCs w:val="24"/>
                <w:lang w:val="es-MX"/>
              </w:rPr>
              <w:t>septiembre</w:t>
            </w:r>
            <w:r w:rsidR="00355D4B" w:rsidRPr="003D4C8A">
              <w:rPr>
                <w:rFonts w:ascii="Museo Sans 300" w:hAnsi="Museo Sans 300"/>
                <w:sz w:val="24"/>
                <w:szCs w:val="24"/>
                <w:lang w:val="es-MX"/>
              </w:rPr>
              <w:t xml:space="preserve"> 2022</w:t>
            </w:r>
            <w:bookmarkEnd w:id="8"/>
            <w:r w:rsidRPr="003D4C8A">
              <w:rPr>
                <w:rFonts w:ascii="Museo Sans 300" w:hAnsi="Museo Sans 300"/>
                <w:sz w:val="24"/>
                <w:szCs w:val="24"/>
                <w:lang w:val="es-MX"/>
              </w:rPr>
              <w:t xml:space="preserve"> </w:t>
            </w: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E2F06" w:rsidRPr="00CD1FD1" w:rsidRDefault="005E2F0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Fiscal del SPNF consolidado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presenta un </w:t>
            </w:r>
            <w:r w:rsidR="00FA06EA">
              <w:rPr>
                <w:rFonts w:ascii="Museo Sans 300" w:hAnsi="Museo Sans 300"/>
                <w:sz w:val="22"/>
                <w:szCs w:val="22"/>
                <w:lang w:val="es-MX"/>
              </w:rPr>
              <w:t xml:space="preserve">déficit </w:t>
            </w:r>
            <w:r w:rsidR="00FA06EA" w:rsidRPr="00CD1FD1">
              <w:rPr>
                <w:rFonts w:ascii="Museo Sans 300" w:hAnsi="Museo Sans 300"/>
                <w:sz w:val="22"/>
                <w:szCs w:val="22"/>
                <w:lang w:val="es-MX"/>
              </w:rPr>
              <w:t>(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sin pensiones) de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20.7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al 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-0.1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PIB, con un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mejora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2.4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</w:t>
            </w:r>
            <w:r w:rsidR="00533792">
              <w:rPr>
                <w:rFonts w:ascii="Museo Sans 300" w:hAnsi="Museo Sans 300"/>
                <w:sz w:val="22"/>
                <w:szCs w:val="22"/>
                <w:lang w:val="es-MX"/>
              </w:rPr>
              <w:t xml:space="preserve">porcentuales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del PIB en relación al resultado a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 Al incorporar el pago de las pensiones por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219.4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el </w:t>
            </w:r>
            <w:r w:rsidR="007551CE">
              <w:rPr>
                <w:rFonts w:ascii="Museo Sans 300" w:hAnsi="Museo Sans 300"/>
                <w:sz w:val="22"/>
                <w:szCs w:val="22"/>
                <w:lang w:val="es-MX"/>
              </w:rPr>
              <w:t xml:space="preserve">déficit 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amplía a </w:t>
            </w:r>
            <w:r w:rsidR="007551CE">
              <w:rPr>
                <w:rFonts w:ascii="Museo Sans 300" w:hAnsi="Museo Sans 300"/>
                <w:sz w:val="22"/>
                <w:szCs w:val="22"/>
                <w:lang w:val="es-MX"/>
              </w:rPr>
              <w:t>-</w:t>
            </w:r>
            <w:r w:rsidR="00EB70BC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240.1</w:t>
            </w:r>
            <w:r w:rsidR="007551CE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con </w:t>
            </w:r>
            <w:r w:rsidR="00660D4C" w:rsidRPr="00CD1FD1">
              <w:rPr>
                <w:rFonts w:ascii="Museo Sans 300" w:hAnsi="Museo Sans 300"/>
                <w:sz w:val="22"/>
                <w:szCs w:val="22"/>
                <w:lang w:val="es-MX"/>
              </w:rPr>
              <w:t>un</w:t>
            </w:r>
            <w:r w:rsidR="00DD0040" w:rsidRPr="00CD1FD1">
              <w:rPr>
                <w:rFonts w:ascii="Museo Sans 300" w:hAnsi="Museo Sans 300"/>
                <w:sz w:val="22"/>
                <w:szCs w:val="22"/>
                <w:lang w:val="es-MX"/>
              </w:rPr>
              <w:t>a mejora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679.2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respecto a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 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mismo período del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año anterior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 En términos del PIB el déficit representa un -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0.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primario (con pensiones), obtuvo un </w:t>
            </w:r>
            <w:r w:rsidR="005E2F06" w:rsidRPr="00CD1FD1">
              <w:rPr>
                <w:rFonts w:ascii="Museo Sans 300" w:hAnsi="Museo Sans 300"/>
                <w:sz w:val="22"/>
                <w:szCs w:val="22"/>
                <w:lang w:val="es-MX"/>
              </w:rPr>
              <w:t>superávit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939.6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3.0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PIB, gener</w:t>
            </w:r>
            <w:r w:rsidR="00533792">
              <w:rPr>
                <w:rFonts w:ascii="Museo Sans 300" w:hAnsi="Museo Sans 300"/>
                <w:sz w:val="22"/>
                <w:szCs w:val="22"/>
                <w:lang w:val="es-MX"/>
              </w:rPr>
              <w:t>ando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una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variación positiva de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801.5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533792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con respecto al resultado de 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</w:t>
            </w: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615BE" w:rsidRPr="00CD1FD1" w:rsidRDefault="005E2F0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6A326C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="006A326C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registraron un valor de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6</w:t>
            </w:r>
            <w:r w:rsidR="00B76E74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012.0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</w:t>
            </w:r>
            <w:r w:rsidR="00533792">
              <w:rPr>
                <w:rFonts w:ascii="Museo Sans 300" w:hAnsi="Museo Sans 300"/>
                <w:sz w:val="22"/>
                <w:szCs w:val="22"/>
                <w:lang w:val="es-MX"/>
              </w:rPr>
              <w:t xml:space="preserve">anual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7551CE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4.9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, equivalente a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779.3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originado principalmente por el aumento en los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>i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ngresos 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 xml:space="preserve">tributarios de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>688.2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</w:t>
            </w:r>
            <w:r w:rsidR="006615B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ingresos totales 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 xml:space="preserve">fueron equivalentes a </w:t>
            </w:r>
            <w:r w:rsidR="007551CE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8.9</w:t>
            </w:r>
            <w:r w:rsidR="006615BE"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PIB.</w:t>
            </w:r>
          </w:p>
          <w:p w:rsidR="005E2F06" w:rsidRPr="00CD1FD1" w:rsidRDefault="005E2F0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615BE" w:rsidRPr="00CD1FD1" w:rsidRDefault="006615B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La recaudación tributaria (incluyendo las contribuciones) alcanzó un monto de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5,100.8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incrementándose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$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688.2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representando una carga tributaria de </w:t>
            </w:r>
            <w:r w:rsidR="007551CE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6.0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relación al PIB, 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superior en </w:t>
            </w:r>
            <w:r w:rsidR="00EB6847">
              <w:rPr>
                <w:rFonts w:ascii="Museo Sans 300" w:hAnsi="Museo Sans 300"/>
                <w:sz w:val="22"/>
                <w:szCs w:val="22"/>
                <w:lang w:val="es-MX"/>
              </w:rPr>
              <w:t>0.6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porcentuales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la registrada a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Por fuente específica, </w:t>
            </w:r>
            <w:r w:rsidR="006B616F" w:rsidRPr="00CD1FD1">
              <w:rPr>
                <w:rFonts w:ascii="Museo Sans 300" w:hAnsi="Museo Sans 300"/>
                <w:sz w:val="22"/>
                <w:szCs w:val="22"/>
                <w:lang w:val="es-MX"/>
              </w:rPr>
              <w:t>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 Impuesto al Valor Agregado registró un flujo acumulado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2,290.0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lo que representa un incremento de </w:t>
            </w:r>
            <w:r w:rsidR="00604C26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1.7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 El Impuesto sobre la Renta alcanzó un valor recaudado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2,244.4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observándose un incremento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28.4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respecto al 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mismo período del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año anterior. La recaudación por Derechos Arancelarios a la Importación de Bienes registró un total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233.5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millones,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un incremento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26.2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esta recuperación está asociada al incremento observado en las importaciones de bienes 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septiembre en </w:t>
            </w:r>
            <w:r w:rsidR="002254AF" w:rsidRPr="00CC5453">
              <w:rPr>
                <w:rFonts w:ascii="Museo Sans 300" w:hAnsi="Museo Sans 300"/>
                <w:sz w:val="22"/>
                <w:szCs w:val="22"/>
                <w:lang w:val="es-MX"/>
              </w:rPr>
              <w:t>24.4</w:t>
            </w:r>
            <w:r w:rsidRPr="00CC5453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:rsidR="006615BE" w:rsidRPr="00CD1FD1" w:rsidRDefault="006615B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E36BBA" w:rsidRPr="00CD1FD1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Los ingresos no tributarios a nivel de SPNF registraron un monto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766.2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experimentando un crecimiento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73.0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relación al mes de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E36BBA" w:rsidRPr="009E5691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E36BBA" w:rsidRPr="00CD1FD1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ejecución del gasto total del SPNF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6,032.6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con un incremento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81.8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respecto al año anterior. </w:t>
            </w:r>
          </w:p>
          <w:p w:rsidR="00E36BBA" w:rsidRPr="00CD1FD1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3121E" w:rsidRPr="00CD1FD1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Los gastos corrientes del SPNF registraron un monto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5,451.3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de 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604C26">
              <w:rPr>
                <w:rFonts w:ascii="Museo Sans 300" w:hAnsi="Museo Sans 300"/>
                <w:sz w:val="22"/>
                <w:szCs w:val="22"/>
                <w:lang w:val="es-MX"/>
              </w:rPr>
              <w:t>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%. 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gastos de capital del SPNF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alcanzaron un monto de $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581.4</w:t>
            </w:r>
            <w:r w:rsidR="00604C26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millones, experimentando un 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de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crecimiento de 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9.9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resultado de 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 xml:space="preserve">un efecto combinado de una disminución $145.7 millones en la inversión pública y de un incremento </w:t>
            </w:r>
            <w:r w:rsidR="00604C26">
              <w:rPr>
                <w:rFonts w:ascii="Museo Sans 300" w:hAnsi="Museo Sans 300"/>
                <w:sz w:val="22"/>
                <w:szCs w:val="22"/>
                <w:lang w:val="es-MX"/>
              </w:rPr>
              <w:t>por un valor de $8</w:t>
            </w:r>
            <w:r w:rsidR="00FE56CC">
              <w:rPr>
                <w:rFonts w:ascii="Museo Sans 300" w:hAnsi="Museo Sans 300"/>
                <w:sz w:val="22"/>
                <w:szCs w:val="22"/>
                <w:lang w:val="es-MX"/>
              </w:rPr>
              <w:t>1.6</w:t>
            </w:r>
            <w:r w:rsidR="00604C26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</w:t>
            </w:r>
            <w:r w:rsidR="002254AF" w:rsidRPr="00CD1FD1">
              <w:rPr>
                <w:rFonts w:ascii="Museo Sans 300" w:hAnsi="Museo Sans 300"/>
                <w:sz w:val="22"/>
                <w:szCs w:val="22"/>
                <w:lang w:val="es-MX"/>
              </w:rPr>
              <w:t>en las transferencias de capital</w:t>
            </w:r>
            <w:r w:rsidR="002254AF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2254AF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originado principalmente por transferencia efectuada al Ramo de Educación, </w:t>
            </w:r>
            <w:r w:rsidR="00A3121E"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destinada </w:t>
            </w:r>
            <w:r w:rsidR="001A0A78"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FE7891"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Programas en </w:t>
            </w:r>
            <w:r w:rsidR="00A3121E" w:rsidRPr="00A17F3B">
              <w:rPr>
                <w:rFonts w:ascii="Museo Sans 300" w:hAnsi="Museo Sans 300"/>
                <w:sz w:val="22"/>
                <w:szCs w:val="22"/>
                <w:lang w:val="es-MX"/>
              </w:rPr>
              <w:t>las áreas de parvulari</w:t>
            </w:r>
            <w:r w:rsidR="00026278" w:rsidRPr="00A17F3B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="00A3121E" w:rsidRPr="00A17F3B">
              <w:rPr>
                <w:rFonts w:ascii="Museo Sans 300" w:hAnsi="Museo Sans 300"/>
                <w:sz w:val="22"/>
                <w:szCs w:val="22"/>
                <w:lang w:val="es-MX"/>
              </w:rPr>
              <w:t>, media, básica, y subsidios</w:t>
            </w:r>
            <w:r w:rsidR="00FE7891" w:rsidRPr="00A17F3B">
              <w:rPr>
                <w:rFonts w:ascii="Museo Sans 300" w:hAnsi="Museo Sans 300"/>
                <w:sz w:val="22"/>
                <w:szCs w:val="22"/>
                <w:lang w:val="es-MX"/>
              </w:rPr>
              <w:t>, entre</w:t>
            </w:r>
            <w:r w:rsidR="00A3121E"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 otros.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5C536F">
              <w:rPr>
                <w:rFonts w:ascii="Museo Sans 300" w:hAnsi="Museo Sans 300"/>
                <w:sz w:val="22"/>
                <w:szCs w:val="22"/>
                <w:lang w:val="es-MX"/>
              </w:rPr>
              <w:t>Por su parte, e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n términos absolutos la inversión </w:t>
            </w:r>
            <w:r w:rsidR="005F56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pública 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>registró un monto de $</w:t>
            </w:r>
            <w:r w:rsidR="005C536F">
              <w:rPr>
                <w:rFonts w:ascii="Museo Sans 300" w:hAnsi="Museo Sans 300"/>
                <w:sz w:val="22"/>
                <w:szCs w:val="22"/>
                <w:lang w:val="es-MX"/>
              </w:rPr>
              <w:t>436.8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un nivel de </w:t>
            </w:r>
            <w:r w:rsidR="005C536F">
              <w:rPr>
                <w:rFonts w:ascii="Museo Sans 300" w:hAnsi="Museo Sans 300"/>
                <w:sz w:val="22"/>
                <w:szCs w:val="22"/>
                <w:lang w:val="es-MX"/>
              </w:rPr>
              <w:t>1.4</w:t>
            </w:r>
            <w:r w:rsidR="00A3121E"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 w:rsidR="00A75C50"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A3121E" w:rsidRPr="009E5691" w:rsidRDefault="00A3121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3121E" w:rsidRPr="00CD1FD1" w:rsidRDefault="00A3121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 xml:space="preserve">La deuda del SPNF sin incluir pensiones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$1</w:t>
            </w:r>
            <w:r w:rsidR="0061127C" w:rsidRPr="00CD1FD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693.8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5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5.6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PIB. Este valor está compuesto por $1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0,962.8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que corresponden a deuda externa, y representan un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4.5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 y $</w:t>
            </w:r>
            <w:r w:rsidR="006066C6" w:rsidRPr="00ED3D89">
              <w:rPr>
                <w:rFonts w:ascii="Museo Sans 300" w:hAnsi="Museo Sans 300"/>
                <w:sz w:val="22"/>
                <w:szCs w:val="22"/>
                <w:lang w:val="es-MX"/>
              </w:rPr>
              <w:t>6,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730.9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correspondientes a deuda interna, equivalente a un </w:t>
            </w:r>
            <w:r w:rsidR="006066C6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1.2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PIB. Al incluir el saldo de Fideicomiso de Obligaciones Previsionales (CIP serie A) por $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6,006.2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los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que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representan un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8.9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PIB,</w:t>
            </w:r>
            <w:r w:rsidR="001B1836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1B1836" w:rsidRPr="00285FD5">
              <w:rPr>
                <w:rFonts w:ascii="Museo Sans 300" w:hAnsi="Museo Sans 300"/>
                <w:sz w:val="22"/>
                <w:szCs w:val="22"/>
                <w:lang w:val="es-MX"/>
              </w:rPr>
              <w:t>totaliza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 deuda interna $1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2,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737.1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El saldo total de la deuda del SPNF con pensiones asciende a $2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3,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700.0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que equivalen al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4.5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PIB, lo que representa un</w:t>
            </w:r>
            <w:r w:rsidR="006F15C6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disminución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63163B">
              <w:rPr>
                <w:rFonts w:ascii="Museo Sans 300" w:hAnsi="Museo Sans 300"/>
                <w:sz w:val="22"/>
                <w:szCs w:val="22"/>
                <w:lang w:val="es-MX"/>
              </w:rPr>
              <w:t>4.1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 con respecto al</w:t>
            </w:r>
            <w:r w:rsidR="007A4EC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indicador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registrado en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A3121E" w:rsidRPr="009E5691" w:rsidRDefault="00A3121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75C50" w:rsidRPr="00CD1FD1" w:rsidRDefault="00A75C50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3D4C8A" w:rsidRDefault="006B1211" w:rsidP="000D7396">
            <w:pPr>
              <w:pStyle w:val="Heading2"/>
              <w:rPr>
                <w:rFonts w:ascii="Museo Sans 300" w:hAnsi="Museo Sans 300"/>
                <w:sz w:val="24"/>
                <w:szCs w:val="24"/>
                <w:lang w:val="es-MX"/>
              </w:rPr>
            </w:pPr>
            <w:bookmarkStart w:id="9" w:name="_Toc116389130"/>
            <w:r w:rsidRPr="003D4C8A">
              <w:rPr>
                <w:rFonts w:ascii="Museo Sans 300" w:hAnsi="Museo Sans 300"/>
                <w:sz w:val="24"/>
                <w:szCs w:val="24"/>
                <w:lang w:val="es-MX"/>
              </w:rPr>
              <w:t>II. Entorno Macroeconómico</w:t>
            </w:r>
            <w:bookmarkEnd w:id="9"/>
          </w:p>
          <w:p w:rsidR="006B1211" w:rsidRPr="009E569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51D87" w:rsidRPr="00CD1FD1" w:rsidRDefault="001D0083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3E28F3" w:rsidRPr="00CD1FD1">
              <w:rPr>
                <w:rFonts w:ascii="Museo Sans 300" w:hAnsi="Museo Sans 300"/>
                <w:sz w:val="22"/>
                <w:szCs w:val="22"/>
                <w:lang w:val="es-MX"/>
              </w:rPr>
              <w:t>continuación,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se presentan l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os resultados de economía nacional a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</w:t>
            </w:r>
            <w:r w:rsidR="0064579A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basado de estadísticas </w:t>
            </w:r>
            <w:r w:rsidR="00CD06CE" w:rsidRPr="00CD1FD1">
              <w:rPr>
                <w:rFonts w:ascii="Museo Sans 300" w:hAnsi="Museo Sans 300"/>
                <w:sz w:val="22"/>
                <w:szCs w:val="22"/>
                <w:lang w:val="es-MX"/>
              </w:rPr>
              <w:t>sobre</w:t>
            </w:r>
            <w:r w:rsidR="005924A9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las principales variables 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macroeconómicas </w:t>
            </w:r>
            <w:r w:rsidR="00CD06C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publicadas por 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>el BCR.</w:t>
            </w:r>
          </w:p>
          <w:p w:rsidR="00A51D87" w:rsidRPr="00CD1FD1" w:rsidRDefault="00A51D87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CE25E7" w:rsidRPr="00CD1FD1" w:rsidRDefault="00CE25E7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476577" w:rsidRDefault="00D15B60" w:rsidP="00D15B60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15B60">
              <w:rPr>
                <w:rFonts w:ascii="Museo Sans 300" w:hAnsi="Museo Sans 300"/>
                <w:sz w:val="22"/>
                <w:szCs w:val="22"/>
                <w:lang w:val="es-MX"/>
              </w:rPr>
              <w:t>El IVAE (nueva serie desestacionalizada) registró en agosto de 2022 una variación anual de 1.8% (10.4% en agosto de 2021).</w:t>
            </w:r>
            <w:r w:rsidR="006A35C9"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476577" w:rsidRPr="006A35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ramas con mayor rendimiento destacan: </w:t>
            </w:r>
            <w:r w:rsidR="006A35C9" w:rsidRPr="006A35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Construcción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10.9</w:t>
            </w:r>
            <w:r w:rsidR="006A35C9" w:rsidRPr="006A35C9">
              <w:rPr>
                <w:rFonts w:ascii="Museo Sans 300" w:hAnsi="Museo Sans 300"/>
                <w:sz w:val="22"/>
                <w:szCs w:val="22"/>
                <w:lang w:val="es-MX"/>
              </w:rPr>
              <w:t>%;</w:t>
            </w:r>
            <w:r w:rsidR="00476577"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D46A2"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Actividades </w:t>
            </w:r>
            <w:r w:rsidR="000962EE" w:rsidRPr="009E5691">
              <w:rPr>
                <w:rFonts w:ascii="Museo Sans 300" w:hAnsi="Museo Sans 300"/>
                <w:sz w:val="22"/>
                <w:szCs w:val="22"/>
                <w:lang w:val="es-MX"/>
              </w:rPr>
              <w:t>Inmobiliarias</w:t>
            </w:r>
            <w:r w:rsidR="003D46A2"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2.4</w:t>
            </w:r>
            <w:r w:rsidR="006945D4">
              <w:rPr>
                <w:rFonts w:ascii="Museo Sans 300" w:hAnsi="Museo Sans 300"/>
                <w:sz w:val="22"/>
                <w:szCs w:val="22"/>
                <w:lang w:val="es-MX"/>
              </w:rPr>
              <w:t>.2</w:t>
            </w:r>
            <w:r w:rsidR="003D46A2" w:rsidRPr="009E5691">
              <w:rPr>
                <w:rFonts w:ascii="Museo Sans 300" w:hAnsi="Museo Sans 300"/>
                <w:sz w:val="22"/>
                <w:szCs w:val="22"/>
                <w:lang w:val="es-MX"/>
              </w:rPr>
              <w:t>%;</w:t>
            </w:r>
            <w:r w:rsidR="000962EE"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D46A2" w:rsidRPr="009E5691">
              <w:rPr>
                <w:rFonts w:ascii="Museo Sans 300" w:hAnsi="Museo Sans 300"/>
                <w:sz w:val="22"/>
                <w:szCs w:val="22"/>
                <w:lang w:val="es-MX"/>
              </w:rPr>
              <w:t>Activida</w:t>
            </w:r>
            <w:r w:rsidR="000962EE" w:rsidRPr="009E5691">
              <w:rPr>
                <w:rFonts w:ascii="Museo Sans 300" w:hAnsi="Museo Sans 300"/>
                <w:sz w:val="22"/>
                <w:szCs w:val="22"/>
                <w:lang w:val="es-MX"/>
              </w:rPr>
              <w:t>d</w:t>
            </w:r>
            <w:r w:rsidR="003D46A2"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es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Financieras y de Seguros 2.3</w:t>
            </w:r>
            <w:r w:rsidR="003D46A2" w:rsidRPr="009E5691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="00476577" w:rsidRPr="006A35C9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D15B60" w:rsidRPr="00D15B60" w:rsidRDefault="00D15B60" w:rsidP="00D15B60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15B60">
              <w:rPr>
                <w:rFonts w:ascii="Museo Sans 300" w:hAnsi="Museo Sans 300"/>
                <w:sz w:val="22"/>
                <w:szCs w:val="22"/>
                <w:lang w:val="es-MX"/>
              </w:rPr>
              <w:t>La inflación anual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 al mes de septiembre</w:t>
            </w:r>
            <w:r w:rsidRPr="00D15B6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fue de 7.5%, debido al aumento en la mayoría de las divisiones, siendo las principales las siguientes: en la División de Alimentos y bebidas no alcohólicas (13.55%); Recreación y cultura (9.72%); Muebles, artículos para el hogar (9.51%); Bienes y servicios diversos (9.28%); y Restaurantes y hoteles (7.81%). Por otra parte, se registró reducción en la división de Comunicaciones (-0.71%).</w:t>
            </w:r>
          </w:p>
          <w:p w:rsidR="00974021" w:rsidRPr="00974021" w:rsidRDefault="00974021" w:rsidP="00860DE7">
            <w:pPr>
              <w:spacing w:after="200" w:line="276" w:lineRule="auto"/>
              <w:ind w:right="24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>La evolución del empleo formal al mes de agosto de 2022 alcanzó un total de 948,810 trabajadores, registrándose una variación anual de 56,093 empleos (6.3%), compuesto por incrementos de 50,707 en sector privado y de 5,386 en el sector público. La crisis por la Pandemia del COVID-19 causo una pérdida alrededor de 65,000 empleos entre los periodos de diciembre 2019 a junio 2020, pero del periodo indicado (junio 2020) al mes de agosto del 2022, se han recuperado un total de 138,922 empleos, de los cuales 123,252 pertenecen al sector privado.</w:t>
            </w:r>
          </w:p>
          <w:p w:rsidR="00974021" w:rsidRDefault="00974021" w:rsidP="00974021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exportaciones registraron un total de $5,688.9 millones con una variación anual de 15.4% equivalentes a $757.6 millones, de conformidad a la Clasificación Internacional Industrial Uniforme Revisión 4 (CIIU Rev. 4), se reportan incrementos en las industrias manufactureras por $517.0 millones; en la maquila por $143.9 millones; en agricultura, ganadería silvicultura y pesca por $62.0 millones; y en suministro de electricidad, gas, vapor y aire acondicionado por $36.2 millones; en cambio 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reportó una leve </w:t>
            </w: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disminución en comercio por $1.2 millones; y en explotación de minas y canteras por $0.3 millones.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F95" w:rsidRPr="0097402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importaciones ascendieron a $13,488.2 millones, aumentando en 24.4% ($2,644.4 millones), según clasificación económica, por rubros 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registró el siguiente </w:t>
            </w: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comportamiento</w:t>
            </w:r>
            <w:r w:rsidR="00A35B2E">
              <w:rPr>
                <w:rFonts w:ascii="Museo Sans 300" w:hAnsi="Museo Sans 300"/>
                <w:sz w:val="22"/>
                <w:szCs w:val="22"/>
                <w:lang w:val="es-MX"/>
              </w:rPr>
              <w:t>:</w:t>
            </w: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las importaciones de bienes de consumo incrementaron 21.5% ($887.4 millones); los bienes </w:t>
            </w: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intermedios incrementaron en 31.4% ($1,364.5 millones); los bienes de capital reflejaron un aumento de 15.1% ($275.7 millones); y la maquila registro un aumento de 21.5% ($116.9 millones).</w:t>
            </w:r>
          </w:p>
          <w:p w:rsidR="0097402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0" w:name="_Hlk60986249"/>
          </w:p>
          <w:p w:rsidR="00152F95" w:rsidRPr="009E569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>Las Remesas familiares acumularon un monto de $5,689.3 millones, con un incremento anual de $205.2 millones equivalentes a 3.7%.</w:t>
            </w:r>
          </w:p>
          <w:p w:rsidR="00152F95" w:rsidRPr="009E5691" w:rsidRDefault="00152F95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974021" w:rsidRPr="0097402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factura petrolera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a septiembre </w:t>
            </w: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>alcanzó un total de $2,186.9 millones (reportándose un crecimiento inter anual de $901.9 millones equivalente a 70.2%), y el monto total de la factura representa el 16.2% del total de las importaciones; por su parte el volumen registró 2,385.3 millones de Kilogramos resultando un incremento del 18.7% equivalentes a 376.4 millones de kilogramos.</w:t>
            </w:r>
          </w:p>
          <w:p w:rsidR="0097402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152F95" w:rsidRPr="0097402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>En el sector financiero al mes de septiembre se reportó una tasa de interés activa de 6.72% mayor que la del año anterior en 37 puntos base. Por su parte, tasa básica pasiva se ubicó en 4.70% mayor que la del año anterior en 57 puntos base.</w:t>
            </w:r>
          </w:p>
          <w:p w:rsidR="00974021" w:rsidRPr="009E5691" w:rsidRDefault="0097402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974021" w:rsidRPr="00974021" w:rsidRDefault="00974021" w:rsidP="009E2D84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74021">
              <w:rPr>
                <w:rFonts w:ascii="Museo Sans 300" w:hAnsi="Museo Sans 300"/>
                <w:sz w:val="22"/>
                <w:szCs w:val="22"/>
                <w:lang w:val="es-MX"/>
              </w:rPr>
              <w:t>El saldo de la cartera préstamo (Bancos, Bancos Cooperativos y Sociedades de Ahorro y Crédito) por sector económico al 30 de septiembre de 2022 fue de $17,155.8 millones, registrando un crecimiento anual de 9.8% ($1,537.9 millones). Los sectores que reportaron mayores saldos fueron: consumo; adquisición de vivienda; comercio; industria; y servicios, los cuales acumularon un 81.3% del saldo total.</w:t>
            </w:r>
          </w:p>
          <w:p w:rsidR="00974021" w:rsidRDefault="00974021" w:rsidP="009E2D84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F185C" w:rsidRPr="005F185C" w:rsidRDefault="005F185C" w:rsidP="009E5691">
            <w:pPr>
              <w:jc w:val="both"/>
              <w:rPr>
                <w:rFonts w:ascii="Museo Sans 300" w:hAnsi="Museo Sans 300"/>
                <w:sz w:val="22"/>
                <w:szCs w:val="22"/>
              </w:rPr>
            </w:pPr>
          </w:p>
          <w:bookmarkEnd w:id="10"/>
          <w:p w:rsidR="00CE25E7" w:rsidRPr="00CD1FD1" w:rsidRDefault="00CE25E7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334A38" w:rsidRPr="00CD1FD1" w:rsidRDefault="00334A38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19773D" w:rsidRPr="00CD1FD1" w:rsidRDefault="0019773D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E249D" w:rsidRPr="00CD1FD1" w:rsidRDefault="00BE249D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E249D" w:rsidRDefault="00BE249D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9E5691" w:rsidRDefault="009E569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8B7BE8" w:rsidRDefault="008B7BE8" w:rsidP="009E5691">
            <w:pPr>
              <w:jc w:val="both"/>
              <w:rPr>
                <w:sz w:val="22"/>
                <w:szCs w:val="22"/>
              </w:rPr>
            </w:pPr>
          </w:p>
          <w:p w:rsidR="008B7BE8" w:rsidRDefault="008B7BE8" w:rsidP="009E5691">
            <w:pPr>
              <w:jc w:val="both"/>
              <w:rPr>
                <w:sz w:val="22"/>
                <w:szCs w:val="22"/>
              </w:rPr>
            </w:pPr>
          </w:p>
          <w:p w:rsidR="008B7BE8" w:rsidRDefault="008B7BE8" w:rsidP="009E5691">
            <w:pPr>
              <w:jc w:val="both"/>
              <w:rPr>
                <w:sz w:val="22"/>
                <w:szCs w:val="22"/>
              </w:rPr>
            </w:pPr>
          </w:p>
          <w:p w:rsidR="008B7BE8" w:rsidRDefault="008B7BE8" w:rsidP="009E5691">
            <w:pPr>
              <w:jc w:val="both"/>
              <w:rPr>
                <w:sz w:val="22"/>
                <w:szCs w:val="22"/>
              </w:rPr>
            </w:pPr>
          </w:p>
          <w:p w:rsidR="008B7BE8" w:rsidRDefault="008B7BE8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CA038A" w:rsidRDefault="00CA038A" w:rsidP="009E5691">
            <w:pPr>
              <w:jc w:val="both"/>
              <w:rPr>
                <w:sz w:val="22"/>
                <w:szCs w:val="22"/>
              </w:rPr>
            </w:pPr>
          </w:p>
          <w:p w:rsidR="00D540FA" w:rsidRPr="003D15B7" w:rsidRDefault="006B1211" w:rsidP="003D15B7">
            <w:pPr>
              <w:pStyle w:val="Heading2"/>
              <w:rPr>
                <w:rFonts w:ascii="Museo Sans 300" w:hAnsi="Museo Sans 300"/>
                <w:sz w:val="24"/>
                <w:szCs w:val="24"/>
                <w:lang w:val="es-MX"/>
              </w:rPr>
            </w:pPr>
            <w:bookmarkStart w:id="11" w:name="_Toc116389131"/>
            <w:r w:rsidRPr="003D15B7">
              <w:rPr>
                <w:rFonts w:ascii="Museo Sans 300" w:hAnsi="Museo Sans 300"/>
                <w:sz w:val="24"/>
                <w:szCs w:val="24"/>
                <w:lang w:val="es-MX"/>
              </w:rPr>
              <w:lastRenderedPageBreak/>
              <w:t>GESTION</w:t>
            </w:r>
            <w:r w:rsidR="00D540FA" w:rsidRPr="003D15B7">
              <w:rPr>
                <w:rFonts w:ascii="Museo Sans 300" w:hAnsi="Museo Sans 300"/>
                <w:sz w:val="24"/>
                <w:szCs w:val="24"/>
                <w:lang w:val="es-MX"/>
              </w:rPr>
              <w:t xml:space="preserve"> DE LAS FINANZAS PÚBLICAS</w:t>
            </w:r>
            <w:bookmarkEnd w:id="2"/>
            <w:bookmarkEnd w:id="3"/>
            <w:bookmarkEnd w:id="4"/>
            <w:bookmarkEnd w:id="11"/>
          </w:p>
          <w:p w:rsidR="0034685B" w:rsidRPr="00CD1FD1" w:rsidRDefault="0034685B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2" w:name="_Toc411843460"/>
          </w:p>
          <w:p w:rsidR="00D540FA" w:rsidRPr="003D15B7" w:rsidRDefault="009B117C" w:rsidP="00377659">
            <w:pPr>
              <w:pStyle w:val="Heading2"/>
              <w:rPr>
                <w:rFonts w:ascii="Museo Sans 300" w:hAnsi="Museo Sans 300"/>
                <w:sz w:val="24"/>
                <w:szCs w:val="24"/>
                <w:lang w:val="es-MX"/>
              </w:rPr>
            </w:pPr>
            <w:bookmarkStart w:id="13" w:name="_Toc505951454"/>
            <w:bookmarkStart w:id="14" w:name="_Toc56581204"/>
            <w:bookmarkStart w:id="15" w:name="_Toc116389132"/>
            <w:r w:rsidRPr="003D15B7">
              <w:rPr>
                <w:rFonts w:ascii="Museo Sans 300" w:hAnsi="Museo Sans 300"/>
                <w:sz w:val="24"/>
                <w:szCs w:val="24"/>
                <w:lang w:val="es-MX"/>
              </w:rPr>
              <w:t xml:space="preserve">1. </w:t>
            </w:r>
            <w:r w:rsidR="00D540FA" w:rsidRPr="003D15B7">
              <w:rPr>
                <w:rFonts w:ascii="Museo Sans 300" w:hAnsi="Museo Sans 300"/>
                <w:sz w:val="24"/>
                <w:szCs w:val="24"/>
                <w:lang w:val="es-MX"/>
              </w:rPr>
              <w:t>Ingresos Totales</w:t>
            </w:r>
            <w:bookmarkEnd w:id="12"/>
            <w:bookmarkEnd w:id="13"/>
            <w:r w:rsidR="00B2286A" w:rsidRPr="003D15B7">
              <w:rPr>
                <w:rFonts w:ascii="Museo Sans 300" w:hAnsi="Museo Sans 300"/>
                <w:sz w:val="24"/>
                <w:szCs w:val="24"/>
                <w:lang w:val="es-MX"/>
              </w:rPr>
              <w:t xml:space="preserve"> del SPNF</w:t>
            </w:r>
            <w:r w:rsidR="00912173" w:rsidRPr="003D15B7">
              <w:rPr>
                <w:rFonts w:ascii="Museo Sans 300" w:hAnsi="Museo Sans 300"/>
                <w:sz w:val="24"/>
                <w:szCs w:val="24"/>
                <w:lang w:val="es-MX"/>
              </w:rPr>
              <w:t xml:space="preserve"> (ver anexo 3)</w:t>
            </w:r>
            <w:r w:rsidR="00B2286A" w:rsidRPr="003D15B7">
              <w:rPr>
                <w:rFonts w:ascii="Museo Sans 300" w:hAnsi="Museo Sans 300"/>
                <w:sz w:val="24"/>
                <w:szCs w:val="24"/>
                <w:lang w:val="es-MX"/>
              </w:rPr>
              <w:t>.</w:t>
            </w:r>
            <w:bookmarkEnd w:id="14"/>
            <w:bookmarkEnd w:id="15"/>
          </w:p>
          <w:p w:rsidR="00D540FA" w:rsidRPr="00CD1FD1" w:rsidRDefault="00D540F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9E5691" w:rsidRPr="009E5691" w:rsidRDefault="009E5691" w:rsidP="00A35B2E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a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2022 ascendieron a $</w:t>
            </w:r>
            <w:r w:rsidR="00CF723A">
              <w:rPr>
                <w:rFonts w:ascii="Museo Sans 300" w:hAnsi="Museo Sans 300"/>
                <w:sz w:val="22"/>
                <w:szCs w:val="22"/>
                <w:lang w:val="es-MX"/>
              </w:rPr>
              <w:t>6,012.0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>mostrando un crecimiento de 1</w:t>
            </w:r>
            <w:r w:rsidR="00CF723A">
              <w:rPr>
                <w:rFonts w:ascii="Museo Sans 300" w:hAnsi="Museo Sans 300"/>
                <w:sz w:val="22"/>
                <w:szCs w:val="22"/>
                <w:lang w:val="es-MX"/>
              </w:rPr>
              <w:t>4.9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>%, equivalente a $</w:t>
            </w:r>
            <w:r w:rsidR="00CF723A">
              <w:rPr>
                <w:rFonts w:ascii="Museo Sans 300" w:hAnsi="Museo Sans 300"/>
                <w:sz w:val="22"/>
                <w:szCs w:val="22"/>
                <w:lang w:val="es-MX"/>
              </w:rPr>
              <w:t>779.3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respecto a </w:t>
            </w:r>
            <w:r w:rsidR="006E1D43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2021, debido principalmente al aumento en los Ingresos Tributarios por $</w:t>
            </w:r>
            <w:r w:rsidR="00CF723A">
              <w:rPr>
                <w:rFonts w:ascii="Museo Sans 300" w:hAnsi="Museo Sans 300"/>
                <w:sz w:val="22"/>
                <w:szCs w:val="22"/>
                <w:lang w:val="es-MX"/>
              </w:rPr>
              <w:t>688.2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C82A86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Como porcentaje del PIB, los ingresos totales representaron 1</w:t>
            </w:r>
            <w:r w:rsidR="00CF723A">
              <w:rPr>
                <w:rFonts w:ascii="Museo Sans 300" w:hAnsi="Museo Sans 300"/>
                <w:sz w:val="22"/>
                <w:szCs w:val="22"/>
                <w:lang w:val="es-MX"/>
              </w:rPr>
              <w:t>8.9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%, resultado superior en </w:t>
            </w:r>
            <w:r w:rsidR="00CF723A">
              <w:rPr>
                <w:rFonts w:ascii="Museo Sans 300" w:hAnsi="Museo Sans 300"/>
                <w:sz w:val="22"/>
                <w:szCs w:val="22"/>
                <w:lang w:val="es-MX"/>
              </w:rPr>
              <w:t>0.7</w:t>
            </w:r>
            <w:r w:rsidRPr="009E56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porcentuales al obtenido en 2021.</w:t>
            </w:r>
          </w:p>
          <w:p w:rsidR="009E5691" w:rsidRPr="009E5691" w:rsidRDefault="009E5691" w:rsidP="009E5691">
            <w:pPr>
              <w:pStyle w:val="Default"/>
              <w:jc w:val="both"/>
              <w:rPr>
                <w:rFonts w:ascii="Museo Sans 300" w:hAnsi="Museo Sans 300" w:cs="Times New Roman"/>
                <w:color w:val="auto"/>
                <w:sz w:val="22"/>
                <w:szCs w:val="22"/>
                <w:lang w:val="es-MX" w:eastAsia="es-ES"/>
              </w:rPr>
            </w:pPr>
          </w:p>
          <w:p w:rsidR="009E5691" w:rsidRPr="009E5691" w:rsidRDefault="009E569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ES"/>
              </w:rPr>
            </w:pPr>
          </w:p>
          <w:p w:rsidR="00D540FA" w:rsidRPr="00CD1FD1" w:rsidRDefault="00D540FA" w:rsidP="003D15B7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1: Evolución de los Ingresos Totales del SPNF </w:t>
            </w:r>
            <w:r w:rsidR="00F05512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A3430E">
              <w:rPr>
                <w:rFonts w:ascii="Museo Sans 300" w:hAnsi="Museo Sans 300"/>
                <w:sz w:val="22"/>
                <w:szCs w:val="22"/>
                <w:lang w:val="es-MX"/>
              </w:rPr>
              <w:t>septiembre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</w:t>
            </w:r>
            <w:r w:rsidR="00F616D4" w:rsidRPr="00CD1FD1">
              <w:rPr>
                <w:rFonts w:ascii="Museo Sans 300" w:hAnsi="Museo Sans 300"/>
                <w:sz w:val="22"/>
                <w:szCs w:val="22"/>
                <w:lang w:val="es-MX"/>
              </w:rPr>
              <w:t>14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</w:t>
            </w:r>
            <w:r w:rsidR="00F616D4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411F3D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</w:p>
          <w:p w:rsidR="00BF745F" w:rsidRPr="00CD1FD1" w:rsidRDefault="00BF745F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152F95" w:rsidRDefault="00A3430E" w:rsidP="0000234B">
            <w:pPr>
              <w:jc w:val="center"/>
              <w:rPr>
                <w:rFonts w:ascii="Museo Sans 300" w:hAnsi="Museo Sans 300"/>
                <w:sz w:val="16"/>
                <w:szCs w:val="16"/>
                <w:lang w:val="es-MX"/>
              </w:rPr>
            </w:pPr>
            <w:r w:rsidRPr="00A3430E">
              <w:rPr>
                <w:rFonts w:ascii="Museo Sans 300" w:hAnsi="Museo Sans 300"/>
                <w:noProof/>
                <w:sz w:val="16"/>
                <w:szCs w:val="16"/>
                <w:lang w:val="es-MX"/>
              </w:rPr>
              <w:drawing>
                <wp:inline distT="0" distB="0" distL="0" distR="0" wp14:anchorId="2E976233" wp14:editId="009EFDB2">
                  <wp:extent cx="4894580" cy="3142615"/>
                  <wp:effectExtent l="0" t="0" r="1270" b="63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4580" cy="314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C9A" w:rsidRPr="009E5691" w:rsidRDefault="00724FE8" w:rsidP="00085CF5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>
              <w:rPr>
                <w:rFonts w:ascii="Museo Sans 300" w:hAnsi="Museo Sans 300"/>
                <w:sz w:val="16"/>
                <w:szCs w:val="16"/>
                <w:lang w:val="es-MX"/>
              </w:rPr>
              <w:t xml:space="preserve">                    </w:t>
            </w:r>
            <w:r w:rsidR="00ED3D89" w:rsidRPr="00152F95">
              <w:rPr>
                <w:rFonts w:ascii="Museo Sans 300" w:hAnsi="Museo Sans 300"/>
                <w:sz w:val="16"/>
                <w:szCs w:val="16"/>
                <w:lang w:val="es-MX"/>
              </w:rPr>
              <w:t>Fuente: Ministerio de Hacienda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</w:tr>
    </w:tbl>
    <w:p w:rsidR="00BE54F5" w:rsidRPr="00CD1FD1" w:rsidRDefault="009B117C" w:rsidP="009B117C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16" w:name="_Toc411843461"/>
      <w:bookmarkStart w:id="17" w:name="_Toc56581205"/>
      <w:bookmarkStart w:id="18" w:name="_Toc116389133"/>
      <w:bookmarkStart w:id="19" w:name="_Toc308681662"/>
      <w:bookmarkStart w:id="20" w:name="_Toc319049208"/>
      <w:bookmarkStart w:id="21" w:name="_Toc388257453"/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1.1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Ingresos </w:t>
      </w:r>
      <w:r w:rsidR="00724FE8">
        <w:rPr>
          <w:rFonts w:ascii="Museo Sans 300" w:hAnsi="Museo Sans 300"/>
          <w:b/>
          <w:sz w:val="22"/>
          <w:szCs w:val="22"/>
          <w:lang w:val="es-MX"/>
        </w:rPr>
        <w:t>T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ributarios</w:t>
      </w:r>
      <w:bookmarkEnd w:id="16"/>
      <w:bookmarkEnd w:id="17"/>
      <w:r w:rsidR="00912173" w:rsidRPr="00CD1FD1">
        <w:rPr>
          <w:rFonts w:ascii="Museo Sans 300" w:hAnsi="Museo Sans 300"/>
          <w:b/>
          <w:sz w:val="22"/>
          <w:szCs w:val="22"/>
          <w:lang w:val="es-MX"/>
        </w:rPr>
        <w:t xml:space="preserve"> y Contribuciones Especiales</w:t>
      </w:r>
      <w:bookmarkEnd w:id="18"/>
    </w:p>
    <w:p w:rsidR="00BE54F5" w:rsidRPr="00CD1FD1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85CF5" w:rsidRPr="00085CF5" w:rsidRDefault="00085CF5" w:rsidP="00A145CB">
      <w:pPr>
        <w:tabs>
          <w:tab w:val="left" w:pos="284"/>
        </w:tabs>
        <w:jc w:val="both"/>
        <w:rPr>
          <w:rFonts w:ascii="Museo Sans 300" w:hAnsi="Museo Sans 300" w:cs="Arial"/>
          <w:sz w:val="22"/>
          <w:szCs w:val="22"/>
        </w:rPr>
      </w:pPr>
      <w:r w:rsidRPr="00085CF5">
        <w:rPr>
          <w:rFonts w:ascii="Museo Sans 300" w:hAnsi="Museo Sans 300" w:cs="Arial"/>
          <w:sz w:val="22"/>
          <w:szCs w:val="22"/>
        </w:rPr>
        <w:t>La recaudación tributaria alcanzó un monto de $</w:t>
      </w:r>
      <w:r w:rsidR="00CF723A">
        <w:rPr>
          <w:rFonts w:ascii="Museo Sans 300" w:hAnsi="Museo Sans 300" w:cs="Arial"/>
          <w:sz w:val="22"/>
          <w:szCs w:val="22"/>
        </w:rPr>
        <w:t>5,100.8</w:t>
      </w:r>
      <w:r w:rsidRPr="00085CF5">
        <w:rPr>
          <w:rFonts w:ascii="Museo Sans 300" w:hAnsi="Museo Sans 300" w:cs="Arial"/>
          <w:sz w:val="22"/>
          <w:szCs w:val="22"/>
        </w:rPr>
        <w:t xml:space="preserve"> millones, (ver gráfico </w:t>
      </w:r>
      <w:r w:rsidR="00C905E4">
        <w:rPr>
          <w:rFonts w:ascii="Museo Sans 300" w:hAnsi="Museo Sans 300" w:cs="Arial"/>
          <w:sz w:val="22"/>
          <w:szCs w:val="22"/>
        </w:rPr>
        <w:t>2</w:t>
      </w:r>
      <w:r w:rsidRPr="00085CF5">
        <w:rPr>
          <w:rFonts w:ascii="Museo Sans 300" w:hAnsi="Museo Sans 300" w:cs="Arial"/>
          <w:sz w:val="22"/>
          <w:szCs w:val="22"/>
        </w:rPr>
        <w:t>) incrementándose con respecto a 2021 en $</w:t>
      </w:r>
      <w:r w:rsidR="00CF723A">
        <w:rPr>
          <w:rFonts w:ascii="Museo Sans 300" w:hAnsi="Museo Sans 300" w:cs="Arial"/>
          <w:sz w:val="22"/>
          <w:szCs w:val="22"/>
        </w:rPr>
        <w:t>688.2</w:t>
      </w:r>
      <w:r w:rsidRPr="00085CF5">
        <w:rPr>
          <w:rFonts w:ascii="Museo Sans 300" w:hAnsi="Museo Sans 300" w:cs="Arial"/>
          <w:sz w:val="22"/>
          <w:szCs w:val="22"/>
        </w:rPr>
        <w:t xml:space="preserve"> millones, producto del dinamismo económico que sostiene el país, y a la eficacia en la implementación </w:t>
      </w:r>
      <w:r w:rsidR="00A35B2E">
        <w:rPr>
          <w:rFonts w:ascii="Museo Sans 300" w:hAnsi="Museo Sans 300" w:cs="Arial"/>
          <w:sz w:val="22"/>
          <w:szCs w:val="22"/>
        </w:rPr>
        <w:t>de medidas administrativas</w:t>
      </w:r>
      <w:r w:rsidR="007F26DD">
        <w:rPr>
          <w:rFonts w:ascii="Museo Sans 300" w:hAnsi="Museo Sans 300" w:cs="Arial"/>
          <w:sz w:val="22"/>
          <w:szCs w:val="22"/>
        </w:rPr>
        <w:t xml:space="preserve"> como </w:t>
      </w:r>
      <w:r w:rsidRPr="00085CF5">
        <w:rPr>
          <w:rFonts w:ascii="Museo Sans 300" w:hAnsi="Museo Sans 300" w:cs="Arial"/>
          <w:sz w:val="22"/>
          <w:szCs w:val="22"/>
        </w:rPr>
        <w:t>el Plan Anti evasión</w:t>
      </w:r>
      <w:r w:rsidR="00B76E74">
        <w:rPr>
          <w:rFonts w:ascii="Museo Sans 300" w:hAnsi="Museo Sans 300" w:cs="Arial"/>
          <w:sz w:val="22"/>
          <w:szCs w:val="22"/>
        </w:rPr>
        <w:t>,</w:t>
      </w:r>
      <w:r w:rsidRPr="00085CF5">
        <w:rPr>
          <w:rFonts w:ascii="Museo Sans 300" w:hAnsi="Museo Sans 300" w:cs="Arial"/>
          <w:sz w:val="22"/>
          <w:szCs w:val="22"/>
        </w:rPr>
        <w:t xml:space="preserve"> Plan anti contrabando</w:t>
      </w:r>
      <w:r w:rsidR="00447D6A">
        <w:rPr>
          <w:rFonts w:ascii="Museo Sans 300" w:hAnsi="Museo Sans 300" w:cs="Arial"/>
          <w:sz w:val="22"/>
          <w:szCs w:val="22"/>
        </w:rPr>
        <w:t xml:space="preserve"> y </w:t>
      </w:r>
      <w:r w:rsidR="007F26DD">
        <w:rPr>
          <w:rFonts w:ascii="Museo Sans 300" w:hAnsi="Museo Sans 300" w:cs="Arial"/>
          <w:sz w:val="22"/>
          <w:szCs w:val="22"/>
        </w:rPr>
        <w:t>Amnistía tributaria, entre otras</w:t>
      </w:r>
      <w:r w:rsidRPr="00085CF5">
        <w:rPr>
          <w:rFonts w:ascii="Museo Sans 300" w:hAnsi="Museo Sans 300" w:cs="Arial"/>
          <w:sz w:val="22"/>
          <w:szCs w:val="22"/>
        </w:rPr>
        <w:t>.  En este sentido</w:t>
      </w:r>
      <w:r w:rsidR="007F26DD">
        <w:rPr>
          <w:rFonts w:ascii="Museo Sans 300" w:hAnsi="Museo Sans 300" w:cs="Arial"/>
          <w:sz w:val="22"/>
          <w:szCs w:val="22"/>
        </w:rPr>
        <w:t>,</w:t>
      </w:r>
      <w:r w:rsidRPr="00085CF5">
        <w:rPr>
          <w:rFonts w:ascii="Museo Sans 300" w:hAnsi="Museo Sans 300" w:cs="Arial"/>
          <w:sz w:val="22"/>
          <w:szCs w:val="22"/>
        </w:rPr>
        <w:t xml:space="preserve"> la carga tributaria fue equivalente a 1</w:t>
      </w:r>
      <w:r w:rsidR="00CF723A">
        <w:rPr>
          <w:rFonts w:ascii="Museo Sans 300" w:hAnsi="Museo Sans 300" w:cs="Arial"/>
          <w:sz w:val="22"/>
          <w:szCs w:val="22"/>
        </w:rPr>
        <w:t>6.0</w:t>
      </w:r>
      <w:r w:rsidRPr="00085CF5">
        <w:rPr>
          <w:rFonts w:ascii="Museo Sans 300" w:hAnsi="Museo Sans 300" w:cs="Arial"/>
          <w:sz w:val="22"/>
          <w:szCs w:val="22"/>
        </w:rPr>
        <w:t xml:space="preserve">% con relación al PIB, siendo superior a la registrada a </w:t>
      </w:r>
      <w:r w:rsidR="006E1D43">
        <w:rPr>
          <w:rFonts w:ascii="Museo Sans 300" w:hAnsi="Museo Sans 300" w:cs="Arial"/>
          <w:sz w:val="22"/>
          <w:szCs w:val="22"/>
        </w:rPr>
        <w:t>septiembre</w:t>
      </w:r>
      <w:r w:rsidRPr="00085CF5">
        <w:rPr>
          <w:rFonts w:ascii="Museo Sans 300" w:hAnsi="Museo Sans 300" w:cs="Arial"/>
          <w:sz w:val="22"/>
          <w:szCs w:val="22"/>
        </w:rPr>
        <w:t xml:space="preserve"> de 2021 en </w:t>
      </w:r>
      <w:r w:rsidR="00CF723A">
        <w:rPr>
          <w:rFonts w:ascii="Museo Sans 300" w:hAnsi="Museo Sans 300" w:cs="Arial"/>
          <w:sz w:val="22"/>
          <w:szCs w:val="22"/>
        </w:rPr>
        <w:t>0.6</w:t>
      </w:r>
      <w:r w:rsidRPr="00085CF5">
        <w:rPr>
          <w:rFonts w:ascii="Museo Sans 300" w:hAnsi="Museo Sans 300" w:cs="Arial"/>
          <w:sz w:val="22"/>
          <w:szCs w:val="22"/>
        </w:rPr>
        <w:t xml:space="preserve"> punto porcentual.</w:t>
      </w:r>
    </w:p>
    <w:p w:rsidR="00085CF5" w:rsidRDefault="00085CF5" w:rsidP="00A145CB">
      <w:pPr>
        <w:tabs>
          <w:tab w:val="left" w:pos="284"/>
        </w:tabs>
        <w:jc w:val="both"/>
        <w:rPr>
          <w:rFonts w:ascii="Museo Sans 300" w:hAnsi="Museo Sans 300" w:cs="Arial"/>
          <w:sz w:val="22"/>
          <w:szCs w:val="22"/>
        </w:rPr>
      </w:pPr>
    </w:p>
    <w:p w:rsidR="00085CF5" w:rsidRPr="009C3D3C" w:rsidRDefault="00085CF5" w:rsidP="00085CF5">
      <w:pPr>
        <w:tabs>
          <w:tab w:val="left" w:pos="0"/>
        </w:tabs>
        <w:jc w:val="both"/>
        <w:rPr>
          <w:rFonts w:ascii="Museo Sans 300" w:hAnsi="Museo Sans 300" w:cs="Arial"/>
          <w:sz w:val="22"/>
          <w:szCs w:val="22"/>
        </w:rPr>
      </w:pPr>
      <w:r w:rsidRPr="009C3D3C">
        <w:rPr>
          <w:rFonts w:ascii="Museo Sans 300" w:hAnsi="Museo Sans 300" w:cs="Arial"/>
          <w:sz w:val="22"/>
          <w:szCs w:val="22"/>
        </w:rPr>
        <w:t>Este resultado obedece al comportamiento que han tenido sus componentes, donde todos muestran incrementos, destacando los impuestos de IVA y Renta que en conjunto adicionaron $</w:t>
      </w:r>
      <w:r w:rsidR="00CF723A">
        <w:rPr>
          <w:rFonts w:ascii="Museo Sans 300" w:hAnsi="Museo Sans 300" w:cs="Arial"/>
          <w:sz w:val="22"/>
          <w:szCs w:val="22"/>
        </w:rPr>
        <w:t>737</w:t>
      </w:r>
      <w:r w:rsidR="00B76E74">
        <w:rPr>
          <w:rFonts w:ascii="Museo Sans 300" w:hAnsi="Museo Sans 300" w:cs="Arial"/>
          <w:sz w:val="22"/>
          <w:szCs w:val="22"/>
        </w:rPr>
        <w:t>.</w:t>
      </w:r>
      <w:r w:rsidR="00CF723A">
        <w:rPr>
          <w:rFonts w:ascii="Museo Sans 300" w:hAnsi="Museo Sans 300" w:cs="Arial"/>
          <w:sz w:val="22"/>
          <w:szCs w:val="22"/>
        </w:rPr>
        <w:t xml:space="preserve"> 2</w:t>
      </w:r>
      <w:r w:rsidRPr="009C3D3C">
        <w:rPr>
          <w:rFonts w:ascii="Museo Sans 300" w:hAnsi="Museo Sans 300" w:cs="Arial"/>
          <w:sz w:val="22"/>
          <w:szCs w:val="22"/>
        </w:rPr>
        <w:t xml:space="preserve"> millones, </w:t>
      </w:r>
      <w:r w:rsidR="007C64D7">
        <w:rPr>
          <w:rFonts w:ascii="Museo Sans 300" w:hAnsi="Museo Sans 300" w:cs="Arial"/>
          <w:sz w:val="22"/>
          <w:szCs w:val="22"/>
        </w:rPr>
        <w:t xml:space="preserve">y </w:t>
      </w:r>
      <w:r w:rsidRPr="009C3D3C">
        <w:rPr>
          <w:rFonts w:ascii="Museo Sans 300" w:hAnsi="Museo Sans 300" w:cs="Arial"/>
          <w:sz w:val="22"/>
          <w:szCs w:val="22"/>
        </w:rPr>
        <w:t xml:space="preserve">la suma del total recaudado por ambos impuestos </w:t>
      </w:r>
      <w:r w:rsidRPr="00C905E4">
        <w:rPr>
          <w:rFonts w:ascii="Museo Sans 300" w:hAnsi="Museo Sans 300" w:cs="Arial"/>
          <w:sz w:val="22"/>
          <w:szCs w:val="22"/>
        </w:rPr>
        <w:t>equivale al 8</w:t>
      </w:r>
      <w:r w:rsidR="00C905E4" w:rsidRPr="00C905E4">
        <w:rPr>
          <w:rFonts w:ascii="Museo Sans 300" w:hAnsi="Museo Sans 300" w:cs="Arial"/>
          <w:sz w:val="22"/>
          <w:szCs w:val="22"/>
        </w:rPr>
        <w:t>8.9</w:t>
      </w:r>
      <w:r w:rsidRPr="00C905E4">
        <w:rPr>
          <w:rFonts w:ascii="Museo Sans 300" w:hAnsi="Museo Sans 300" w:cs="Arial"/>
          <w:sz w:val="22"/>
          <w:szCs w:val="22"/>
        </w:rPr>
        <w:t>% del</w:t>
      </w:r>
      <w:r w:rsidRPr="009C3D3C">
        <w:rPr>
          <w:rFonts w:ascii="Museo Sans 300" w:hAnsi="Museo Sans 300" w:cs="Arial"/>
          <w:sz w:val="22"/>
          <w:szCs w:val="22"/>
        </w:rPr>
        <w:t xml:space="preserve"> </w:t>
      </w:r>
      <w:r w:rsidRPr="009C3D3C">
        <w:rPr>
          <w:rFonts w:ascii="Museo Sans 300" w:hAnsi="Museo Sans 300" w:cs="Arial"/>
          <w:sz w:val="22"/>
          <w:szCs w:val="22"/>
        </w:rPr>
        <w:lastRenderedPageBreak/>
        <w:t xml:space="preserve">ingreso tributario lo que confirma la efectividad de las medidas tributarias y administrativas implementadas desde el año 2019. </w:t>
      </w:r>
    </w:p>
    <w:p w:rsidR="00FE704C" w:rsidRPr="009C3D3C" w:rsidRDefault="00FE704C" w:rsidP="00042C94">
      <w:pPr>
        <w:tabs>
          <w:tab w:val="left" w:pos="284"/>
        </w:tabs>
        <w:jc w:val="both"/>
        <w:rPr>
          <w:rFonts w:ascii="Museo Sans 300" w:hAnsi="Museo Sans 300" w:cs="Arial"/>
          <w:sz w:val="22"/>
          <w:szCs w:val="22"/>
        </w:rPr>
      </w:pPr>
    </w:p>
    <w:p w:rsidR="00085CF5" w:rsidRPr="00085CF5" w:rsidRDefault="00AD3B3D" w:rsidP="00085CF5">
      <w:pPr>
        <w:jc w:val="both"/>
        <w:rPr>
          <w:rFonts w:ascii="Museo Sans 300" w:hAnsi="Museo Sans 300" w:cs="Arial"/>
          <w:sz w:val="22"/>
          <w:szCs w:val="22"/>
        </w:rPr>
      </w:pPr>
      <w:r w:rsidRPr="00085CF5">
        <w:rPr>
          <w:rFonts w:ascii="Museo Sans 300" w:hAnsi="Museo Sans 300" w:cs="Arial"/>
          <w:sz w:val="22"/>
          <w:szCs w:val="22"/>
        </w:rPr>
        <w:t>De forma detallada</w:t>
      </w:r>
      <w:r w:rsidRPr="00CD1FD1">
        <w:rPr>
          <w:rFonts w:ascii="Museo Sans 300" w:hAnsi="Museo Sans 300" w:cs="Arial"/>
          <w:sz w:val="22"/>
          <w:szCs w:val="22"/>
        </w:rPr>
        <w:t xml:space="preserve">, </w:t>
      </w:r>
      <w:r w:rsidR="00085CF5" w:rsidRPr="00085CF5">
        <w:rPr>
          <w:rFonts w:ascii="Museo Sans 300" w:hAnsi="Museo Sans 300" w:cs="Arial"/>
          <w:sz w:val="22"/>
          <w:szCs w:val="22"/>
        </w:rPr>
        <w:t>el Impuesto al Valor Agregado registró un flujo de $</w:t>
      </w:r>
      <w:r w:rsidR="00CF723A">
        <w:rPr>
          <w:rFonts w:ascii="Museo Sans 300" w:hAnsi="Museo Sans 300" w:cs="Arial"/>
          <w:sz w:val="22"/>
          <w:szCs w:val="22"/>
        </w:rPr>
        <w:t>2,290.0</w:t>
      </w:r>
      <w:r w:rsidR="00085CF5" w:rsidRPr="00085CF5">
        <w:rPr>
          <w:rFonts w:ascii="Museo Sans 300" w:hAnsi="Museo Sans 300" w:cs="Arial"/>
          <w:sz w:val="22"/>
          <w:szCs w:val="22"/>
        </w:rPr>
        <w:t xml:space="preserve"> millones</w:t>
      </w:r>
      <w:r w:rsidR="007C64D7">
        <w:rPr>
          <w:rFonts w:ascii="Museo Sans 300" w:hAnsi="Museo Sans 300" w:cs="Arial"/>
          <w:sz w:val="22"/>
          <w:szCs w:val="22"/>
        </w:rPr>
        <w:t>,</w:t>
      </w:r>
      <w:r w:rsidR="00085CF5" w:rsidRPr="00085CF5">
        <w:rPr>
          <w:rFonts w:ascii="Museo Sans 300" w:hAnsi="Museo Sans 300" w:cs="Arial"/>
          <w:sz w:val="22"/>
          <w:szCs w:val="22"/>
        </w:rPr>
        <w:t xml:space="preserve"> lo que representa un incremento de 1</w:t>
      </w:r>
      <w:r w:rsidR="00CF723A">
        <w:rPr>
          <w:rFonts w:ascii="Museo Sans 300" w:hAnsi="Museo Sans 300" w:cs="Arial"/>
          <w:sz w:val="22"/>
          <w:szCs w:val="22"/>
        </w:rPr>
        <w:t>1.7</w:t>
      </w:r>
      <w:r w:rsidR="00085CF5" w:rsidRPr="00085CF5">
        <w:rPr>
          <w:rFonts w:ascii="Museo Sans 300" w:hAnsi="Museo Sans 300" w:cs="Arial"/>
          <w:sz w:val="22"/>
          <w:szCs w:val="22"/>
        </w:rPr>
        <w:t xml:space="preserve">% con respecto a 2021, resultado de variaciones positivas en sus componentes de la siguiente forma: IVA declaración de </w:t>
      </w:r>
      <w:r w:rsidR="00CF723A">
        <w:rPr>
          <w:rFonts w:ascii="Museo Sans 300" w:hAnsi="Museo Sans 300" w:cs="Arial"/>
          <w:sz w:val="22"/>
          <w:szCs w:val="22"/>
        </w:rPr>
        <w:t>9.0</w:t>
      </w:r>
      <w:r w:rsidR="00085CF5" w:rsidRPr="00085CF5">
        <w:rPr>
          <w:rFonts w:ascii="Museo Sans 300" w:hAnsi="Museo Sans 300" w:cs="Arial"/>
          <w:sz w:val="22"/>
          <w:szCs w:val="22"/>
        </w:rPr>
        <w:t xml:space="preserve">% y en IVA importación </w:t>
      </w:r>
      <w:r w:rsidR="00CF723A">
        <w:rPr>
          <w:rFonts w:ascii="Museo Sans 300" w:hAnsi="Museo Sans 300" w:cs="Arial"/>
          <w:sz w:val="22"/>
          <w:szCs w:val="22"/>
        </w:rPr>
        <w:t>13.9</w:t>
      </w:r>
      <w:r w:rsidR="00085CF5" w:rsidRPr="00085CF5">
        <w:rPr>
          <w:rFonts w:ascii="Museo Sans 300" w:hAnsi="Museo Sans 300" w:cs="Arial"/>
          <w:sz w:val="22"/>
          <w:szCs w:val="22"/>
        </w:rPr>
        <w:t xml:space="preserve">%. Debido en </w:t>
      </w:r>
      <w:r w:rsidR="00343ED4">
        <w:rPr>
          <w:rFonts w:ascii="Museo Sans 300" w:hAnsi="Museo Sans 300" w:cs="Arial"/>
          <w:sz w:val="22"/>
          <w:szCs w:val="22"/>
        </w:rPr>
        <w:t>parte</w:t>
      </w:r>
      <w:r w:rsidR="007C64D7">
        <w:rPr>
          <w:rFonts w:ascii="Museo Sans 300" w:hAnsi="Museo Sans 300" w:cs="Arial"/>
          <w:sz w:val="22"/>
          <w:szCs w:val="22"/>
        </w:rPr>
        <w:t>,</w:t>
      </w:r>
      <w:r w:rsidR="00343ED4">
        <w:rPr>
          <w:rFonts w:ascii="Museo Sans 300" w:hAnsi="Museo Sans 300" w:cs="Arial"/>
          <w:sz w:val="22"/>
          <w:szCs w:val="22"/>
        </w:rPr>
        <w:t xml:space="preserve"> </w:t>
      </w:r>
      <w:r w:rsidR="007F26DD">
        <w:rPr>
          <w:rFonts w:ascii="Museo Sans 300" w:hAnsi="Museo Sans 300" w:cs="Arial"/>
          <w:sz w:val="22"/>
          <w:szCs w:val="22"/>
        </w:rPr>
        <w:t xml:space="preserve">al </w:t>
      </w:r>
      <w:r w:rsidR="00085CF5" w:rsidRPr="00085CF5">
        <w:rPr>
          <w:rFonts w:ascii="Museo Sans 300" w:hAnsi="Museo Sans 300" w:cs="Arial"/>
          <w:sz w:val="22"/>
          <w:szCs w:val="22"/>
        </w:rPr>
        <w:t xml:space="preserve">incremento de la factura petrolera, </w:t>
      </w:r>
      <w:r w:rsidR="007F26DD">
        <w:rPr>
          <w:rFonts w:ascii="Museo Sans 300" w:hAnsi="Museo Sans 300" w:cs="Arial"/>
          <w:sz w:val="22"/>
          <w:szCs w:val="22"/>
        </w:rPr>
        <w:t xml:space="preserve">que </w:t>
      </w:r>
      <w:r w:rsidR="00085CF5" w:rsidRPr="00E76424">
        <w:rPr>
          <w:rFonts w:ascii="Museo Sans 300" w:hAnsi="Museo Sans 300" w:cs="Arial"/>
          <w:sz w:val="22"/>
          <w:szCs w:val="22"/>
        </w:rPr>
        <w:t>representa un 1</w:t>
      </w:r>
      <w:r w:rsidR="00B32DED" w:rsidRPr="00E76424">
        <w:rPr>
          <w:rFonts w:ascii="Museo Sans 300" w:hAnsi="Museo Sans 300" w:cs="Arial"/>
          <w:sz w:val="22"/>
          <w:szCs w:val="22"/>
        </w:rPr>
        <w:t>6.2</w:t>
      </w:r>
      <w:r w:rsidR="00085CF5" w:rsidRPr="00E76424">
        <w:rPr>
          <w:rFonts w:ascii="Museo Sans 300" w:hAnsi="Museo Sans 300" w:cs="Arial"/>
          <w:sz w:val="22"/>
          <w:szCs w:val="22"/>
        </w:rPr>
        <w:t xml:space="preserve">% del total de </w:t>
      </w:r>
      <w:r w:rsidR="007C64D7">
        <w:rPr>
          <w:rFonts w:ascii="Museo Sans 300" w:hAnsi="Museo Sans 300" w:cs="Arial"/>
          <w:sz w:val="22"/>
          <w:szCs w:val="22"/>
        </w:rPr>
        <w:t xml:space="preserve">las </w:t>
      </w:r>
      <w:r w:rsidR="00085CF5" w:rsidRPr="00E76424">
        <w:rPr>
          <w:rFonts w:ascii="Museo Sans 300" w:hAnsi="Museo Sans 300" w:cs="Arial"/>
          <w:sz w:val="22"/>
          <w:szCs w:val="22"/>
        </w:rPr>
        <w:t>importaciones, donde las importaciones totales experimentaron un crecimiento de 2</w:t>
      </w:r>
      <w:r w:rsidR="00E76424" w:rsidRPr="00E76424">
        <w:rPr>
          <w:rFonts w:ascii="Museo Sans 300" w:hAnsi="Museo Sans 300" w:cs="Arial"/>
          <w:sz w:val="22"/>
          <w:szCs w:val="22"/>
        </w:rPr>
        <w:t>4.4</w:t>
      </w:r>
      <w:r w:rsidR="00085CF5" w:rsidRPr="00E76424">
        <w:rPr>
          <w:rFonts w:ascii="Museo Sans 300" w:hAnsi="Museo Sans 300" w:cs="Arial"/>
          <w:sz w:val="22"/>
          <w:szCs w:val="22"/>
        </w:rPr>
        <w:t>%. Dentro de la composición de los Ingresos Tributarios, el IVA representó el 4</w:t>
      </w:r>
      <w:r w:rsidR="00E76424" w:rsidRPr="00E76424">
        <w:rPr>
          <w:rFonts w:ascii="Museo Sans 300" w:hAnsi="Museo Sans 300" w:cs="Arial"/>
          <w:sz w:val="22"/>
          <w:szCs w:val="22"/>
        </w:rPr>
        <w:t>4.9</w:t>
      </w:r>
      <w:r w:rsidR="00085CF5" w:rsidRPr="00E76424">
        <w:rPr>
          <w:rFonts w:ascii="Museo Sans 300" w:hAnsi="Museo Sans 300" w:cs="Arial"/>
          <w:sz w:val="22"/>
          <w:szCs w:val="22"/>
        </w:rPr>
        <w:t>%.</w:t>
      </w:r>
    </w:p>
    <w:p w:rsidR="00085CF5" w:rsidRPr="00D20546" w:rsidRDefault="00085CF5" w:rsidP="00085CF5">
      <w:pPr>
        <w:jc w:val="both"/>
        <w:rPr>
          <w:rFonts w:ascii="Museo Sans 300" w:hAnsi="Museo Sans 300" w:cs="Arial"/>
          <w:i/>
          <w:sz w:val="22"/>
          <w:szCs w:val="22"/>
        </w:rPr>
      </w:pPr>
    </w:p>
    <w:p w:rsidR="00085CF5" w:rsidRPr="00D20546" w:rsidRDefault="00085CF5" w:rsidP="00085CF5">
      <w:pPr>
        <w:jc w:val="both"/>
        <w:rPr>
          <w:rFonts w:ascii="Museo Sans 300" w:hAnsi="Museo Sans 300" w:cs="Arial"/>
          <w:i/>
          <w:sz w:val="22"/>
          <w:szCs w:val="22"/>
        </w:rPr>
      </w:pPr>
      <w:r w:rsidRPr="00085CF5">
        <w:rPr>
          <w:rFonts w:ascii="Museo Sans 300" w:hAnsi="Museo Sans 300" w:cs="Arial"/>
          <w:sz w:val="22"/>
          <w:szCs w:val="22"/>
        </w:rPr>
        <w:t>El Impuesto sobre la Renta alcanzó un valor recaudado de $</w:t>
      </w:r>
      <w:r w:rsidR="00247F7F">
        <w:rPr>
          <w:rFonts w:ascii="Museo Sans 300" w:hAnsi="Museo Sans 300" w:cs="Arial"/>
          <w:sz w:val="22"/>
          <w:szCs w:val="22"/>
        </w:rPr>
        <w:t>2,244.4</w:t>
      </w:r>
      <w:r w:rsidRPr="00085CF5">
        <w:rPr>
          <w:rFonts w:ascii="Museo Sans 300" w:hAnsi="Museo Sans 300" w:cs="Arial"/>
          <w:sz w:val="22"/>
          <w:szCs w:val="22"/>
        </w:rPr>
        <w:t xml:space="preserve"> millones, observándose un incremento con respecto al año anterior de </w:t>
      </w:r>
      <w:r w:rsidR="00247F7F">
        <w:rPr>
          <w:rFonts w:ascii="Museo Sans 300" w:hAnsi="Museo Sans 300" w:cs="Arial"/>
          <w:sz w:val="22"/>
          <w:szCs w:val="22"/>
        </w:rPr>
        <w:t>28.4</w:t>
      </w:r>
      <w:r w:rsidRPr="00085CF5">
        <w:rPr>
          <w:rFonts w:ascii="Museo Sans 300" w:hAnsi="Museo Sans 300" w:cs="Arial"/>
          <w:sz w:val="22"/>
          <w:szCs w:val="22"/>
        </w:rPr>
        <w:t xml:space="preserve">%, producto de incrementos en todos sus componentes, de la forma siguiente: declaraciones </w:t>
      </w:r>
      <w:r w:rsidR="00247F7F">
        <w:rPr>
          <w:rFonts w:ascii="Museo Sans 300" w:hAnsi="Museo Sans 300" w:cs="Arial"/>
          <w:sz w:val="22"/>
          <w:szCs w:val="22"/>
        </w:rPr>
        <w:t>51.5</w:t>
      </w:r>
      <w:r w:rsidRPr="00085CF5">
        <w:rPr>
          <w:rFonts w:ascii="Museo Sans 300" w:hAnsi="Museo Sans 300" w:cs="Arial"/>
          <w:sz w:val="22"/>
          <w:szCs w:val="22"/>
        </w:rPr>
        <w:t xml:space="preserve">%, pago a cuenta </w:t>
      </w:r>
      <w:r w:rsidR="00247F7F">
        <w:rPr>
          <w:rFonts w:ascii="Museo Sans 300" w:hAnsi="Museo Sans 300" w:cs="Arial"/>
          <w:sz w:val="22"/>
          <w:szCs w:val="22"/>
        </w:rPr>
        <w:t>19.2</w:t>
      </w:r>
      <w:r w:rsidRPr="00085CF5">
        <w:rPr>
          <w:rFonts w:ascii="Museo Sans 300" w:hAnsi="Museo Sans 300" w:cs="Arial"/>
          <w:sz w:val="22"/>
          <w:szCs w:val="22"/>
        </w:rPr>
        <w:t xml:space="preserve">% y retenciones </w:t>
      </w:r>
      <w:r w:rsidR="00247F7F">
        <w:rPr>
          <w:rFonts w:ascii="Museo Sans 300" w:hAnsi="Museo Sans 300" w:cs="Arial"/>
          <w:sz w:val="22"/>
          <w:szCs w:val="22"/>
        </w:rPr>
        <w:t>18.6</w:t>
      </w:r>
      <w:r w:rsidRPr="00085CF5">
        <w:rPr>
          <w:rFonts w:ascii="Museo Sans 300" w:hAnsi="Museo Sans 300" w:cs="Arial"/>
          <w:sz w:val="22"/>
          <w:szCs w:val="22"/>
        </w:rPr>
        <w:t>%</w:t>
      </w:r>
      <w:r w:rsidR="001A4F17">
        <w:rPr>
          <w:rFonts w:ascii="Museo Sans 300" w:hAnsi="Museo Sans 300" w:cs="Arial"/>
          <w:sz w:val="22"/>
          <w:szCs w:val="22"/>
        </w:rPr>
        <w:t xml:space="preserve">, en el rubro de </w:t>
      </w:r>
      <w:r w:rsidR="007C64D7">
        <w:rPr>
          <w:rFonts w:ascii="Museo Sans 300" w:hAnsi="Museo Sans 300" w:cs="Arial"/>
          <w:sz w:val="22"/>
          <w:szCs w:val="22"/>
        </w:rPr>
        <w:t>R</w:t>
      </w:r>
      <w:r w:rsidR="001A4F17">
        <w:rPr>
          <w:rFonts w:ascii="Museo Sans 300" w:hAnsi="Museo Sans 300" w:cs="Arial"/>
          <w:sz w:val="22"/>
          <w:szCs w:val="22"/>
        </w:rPr>
        <w:t xml:space="preserve">enta </w:t>
      </w:r>
      <w:r w:rsidR="007C64D7">
        <w:rPr>
          <w:rFonts w:ascii="Museo Sans 300" w:hAnsi="Museo Sans 300" w:cs="Arial"/>
          <w:sz w:val="22"/>
          <w:szCs w:val="22"/>
        </w:rPr>
        <w:t>D</w:t>
      </w:r>
      <w:r w:rsidR="001A4F17">
        <w:rPr>
          <w:rFonts w:ascii="Museo Sans 300" w:hAnsi="Museo Sans 300" w:cs="Arial"/>
          <w:sz w:val="22"/>
          <w:szCs w:val="22"/>
        </w:rPr>
        <w:t xml:space="preserve">eclaración el incremento corresponde en parte a la recaudación amparada a los beneficios </w:t>
      </w:r>
      <w:r w:rsidR="007F26DD">
        <w:rPr>
          <w:rFonts w:ascii="Museo Sans 300" w:hAnsi="Museo Sans 300" w:cs="Arial"/>
          <w:sz w:val="22"/>
          <w:szCs w:val="22"/>
        </w:rPr>
        <w:t xml:space="preserve">otorgados por </w:t>
      </w:r>
      <w:r w:rsidR="001A4F17">
        <w:rPr>
          <w:rFonts w:ascii="Museo Sans 300" w:hAnsi="Museo Sans 300" w:cs="Arial"/>
          <w:sz w:val="22"/>
          <w:szCs w:val="22"/>
        </w:rPr>
        <w:t>la</w:t>
      </w:r>
      <w:r w:rsidR="00E76424">
        <w:rPr>
          <w:rFonts w:ascii="Museo Sans 300" w:hAnsi="Museo Sans 300" w:cs="Arial"/>
          <w:sz w:val="22"/>
          <w:szCs w:val="22"/>
        </w:rPr>
        <w:t>s</w:t>
      </w:r>
      <w:r w:rsidR="001A4F17">
        <w:rPr>
          <w:rFonts w:ascii="Museo Sans 300" w:hAnsi="Museo Sans 300" w:cs="Arial"/>
          <w:sz w:val="22"/>
          <w:szCs w:val="22"/>
        </w:rPr>
        <w:t xml:space="preserve"> Amnistía</w:t>
      </w:r>
      <w:r w:rsidR="00E76424">
        <w:rPr>
          <w:rFonts w:ascii="Museo Sans 300" w:hAnsi="Museo Sans 300" w:cs="Arial"/>
          <w:sz w:val="22"/>
          <w:szCs w:val="22"/>
        </w:rPr>
        <w:t>s</w:t>
      </w:r>
      <w:r w:rsidR="001A4F17">
        <w:rPr>
          <w:rFonts w:ascii="Museo Sans 300" w:hAnsi="Museo Sans 300" w:cs="Arial"/>
          <w:sz w:val="22"/>
          <w:szCs w:val="22"/>
        </w:rPr>
        <w:t xml:space="preserve"> Fiscal</w:t>
      </w:r>
      <w:r w:rsidR="00E76424">
        <w:rPr>
          <w:rFonts w:ascii="Museo Sans 300" w:hAnsi="Museo Sans 300" w:cs="Arial"/>
          <w:sz w:val="22"/>
          <w:szCs w:val="22"/>
        </w:rPr>
        <w:t>es que se han implementado</w:t>
      </w:r>
      <w:r w:rsidRPr="00085CF5">
        <w:rPr>
          <w:rFonts w:ascii="Museo Sans 300" w:hAnsi="Museo Sans 300" w:cs="Arial"/>
          <w:sz w:val="22"/>
          <w:szCs w:val="22"/>
        </w:rPr>
        <w:t>. Dicho Impuesto representó un 4</w:t>
      </w:r>
      <w:r w:rsidR="00247F7F">
        <w:rPr>
          <w:rFonts w:ascii="Museo Sans 300" w:hAnsi="Museo Sans 300" w:cs="Arial"/>
          <w:sz w:val="22"/>
          <w:szCs w:val="22"/>
        </w:rPr>
        <w:t>4.0</w:t>
      </w:r>
      <w:r w:rsidRPr="00085CF5">
        <w:rPr>
          <w:rFonts w:ascii="Museo Sans 300" w:hAnsi="Museo Sans 300" w:cs="Arial"/>
          <w:sz w:val="22"/>
          <w:szCs w:val="22"/>
        </w:rPr>
        <w:t>% del total de Ingresos Tributarios</w:t>
      </w:r>
      <w:r w:rsidRPr="00D20546">
        <w:rPr>
          <w:rFonts w:ascii="Museo Sans 300" w:hAnsi="Museo Sans 300" w:cs="Arial"/>
          <w:i/>
          <w:sz w:val="22"/>
          <w:szCs w:val="22"/>
        </w:rPr>
        <w:t xml:space="preserve">. </w:t>
      </w:r>
    </w:p>
    <w:p w:rsidR="00085CF5" w:rsidRDefault="00085CF5" w:rsidP="00085CF5">
      <w:pPr>
        <w:jc w:val="both"/>
        <w:rPr>
          <w:rFonts w:ascii="Museo Sans 300" w:hAnsi="Museo Sans 300" w:cs="Arial"/>
          <w:i/>
          <w:sz w:val="22"/>
          <w:szCs w:val="22"/>
        </w:rPr>
      </w:pPr>
    </w:p>
    <w:p w:rsidR="00085CF5" w:rsidRPr="00085CF5" w:rsidRDefault="00085CF5" w:rsidP="00085CF5">
      <w:pPr>
        <w:jc w:val="both"/>
        <w:rPr>
          <w:rFonts w:ascii="Museo Sans 300" w:hAnsi="Museo Sans 300" w:cs="Arial"/>
          <w:sz w:val="22"/>
          <w:szCs w:val="22"/>
        </w:rPr>
      </w:pPr>
      <w:r w:rsidRPr="00085CF5">
        <w:rPr>
          <w:rFonts w:ascii="Museo Sans 300" w:hAnsi="Museo Sans 300" w:cs="Arial"/>
          <w:sz w:val="22"/>
          <w:szCs w:val="22"/>
        </w:rPr>
        <w:t xml:space="preserve">La recaudación </w:t>
      </w:r>
      <w:bookmarkStart w:id="22" w:name="_Hlk48627481"/>
      <w:r w:rsidRPr="00085CF5">
        <w:rPr>
          <w:rFonts w:ascii="Museo Sans 300" w:hAnsi="Museo Sans 300" w:cs="Arial"/>
          <w:sz w:val="22"/>
          <w:szCs w:val="22"/>
        </w:rPr>
        <w:t xml:space="preserve">por Derechos Arancelarios a la Importación </w:t>
      </w:r>
      <w:bookmarkEnd w:id="22"/>
      <w:r w:rsidRPr="00085CF5">
        <w:rPr>
          <w:rFonts w:ascii="Museo Sans 300" w:hAnsi="Museo Sans 300" w:cs="Arial"/>
          <w:sz w:val="22"/>
          <w:szCs w:val="22"/>
        </w:rPr>
        <w:t>de Bienes registró un total de $</w:t>
      </w:r>
      <w:r w:rsidR="00247F7F">
        <w:rPr>
          <w:rFonts w:ascii="Museo Sans 300" w:hAnsi="Museo Sans 300" w:cs="Arial"/>
          <w:sz w:val="22"/>
          <w:szCs w:val="22"/>
        </w:rPr>
        <w:t>233.5</w:t>
      </w:r>
      <w:r w:rsidRPr="00085CF5">
        <w:rPr>
          <w:rFonts w:ascii="Museo Sans 300" w:hAnsi="Museo Sans 300" w:cs="Arial"/>
          <w:sz w:val="22"/>
          <w:szCs w:val="22"/>
        </w:rPr>
        <w:t xml:space="preserve"> millones, mostrando un incremento de $</w:t>
      </w:r>
      <w:r w:rsidR="00247F7F">
        <w:rPr>
          <w:rFonts w:ascii="Museo Sans 300" w:hAnsi="Museo Sans 300" w:cs="Arial"/>
          <w:sz w:val="22"/>
          <w:szCs w:val="22"/>
        </w:rPr>
        <w:t>26.2</w:t>
      </w:r>
      <w:r w:rsidRPr="00085CF5">
        <w:rPr>
          <w:rFonts w:ascii="Museo Sans 300" w:hAnsi="Museo Sans 300" w:cs="Arial"/>
          <w:sz w:val="22"/>
          <w:szCs w:val="22"/>
        </w:rPr>
        <w:t xml:space="preserve"> millones con respecto a 2021, dicho comportamiento estuvo determinado </w:t>
      </w:r>
      <w:r w:rsidR="007F26DD">
        <w:rPr>
          <w:rFonts w:ascii="Museo Sans 300" w:hAnsi="Museo Sans 300" w:cs="Arial"/>
          <w:sz w:val="22"/>
          <w:szCs w:val="22"/>
        </w:rPr>
        <w:t xml:space="preserve">directamente </w:t>
      </w:r>
      <w:r w:rsidRPr="00085CF5">
        <w:rPr>
          <w:rFonts w:ascii="Museo Sans 300" w:hAnsi="Museo Sans 300" w:cs="Arial"/>
          <w:sz w:val="22"/>
          <w:szCs w:val="22"/>
        </w:rPr>
        <w:t xml:space="preserve">por el incremento de las importaciones de bienes reportado por el BCR de </w:t>
      </w:r>
      <w:r w:rsidRPr="00057584">
        <w:rPr>
          <w:rFonts w:ascii="Museo Sans 300" w:hAnsi="Museo Sans 300" w:cs="Arial"/>
          <w:sz w:val="22"/>
          <w:szCs w:val="22"/>
        </w:rPr>
        <w:t>2</w:t>
      </w:r>
      <w:r w:rsidR="00057584" w:rsidRPr="00057584">
        <w:rPr>
          <w:rFonts w:ascii="Museo Sans 300" w:hAnsi="Museo Sans 300" w:cs="Arial"/>
          <w:sz w:val="22"/>
          <w:szCs w:val="22"/>
        </w:rPr>
        <w:t>4.4</w:t>
      </w:r>
      <w:r w:rsidRPr="00057584">
        <w:rPr>
          <w:rFonts w:ascii="Museo Sans 300" w:hAnsi="Museo Sans 300" w:cs="Arial"/>
          <w:sz w:val="22"/>
          <w:szCs w:val="22"/>
        </w:rPr>
        <w:t>%</w:t>
      </w:r>
      <w:r w:rsidRPr="00447D6A">
        <w:rPr>
          <w:rFonts w:ascii="Museo Sans 300" w:hAnsi="Museo Sans 300" w:cs="Arial"/>
          <w:sz w:val="22"/>
          <w:szCs w:val="22"/>
        </w:rPr>
        <w:t xml:space="preserve"> al</w:t>
      </w:r>
      <w:r w:rsidRPr="00085CF5">
        <w:rPr>
          <w:rFonts w:ascii="Museo Sans 300" w:hAnsi="Museo Sans 300" w:cs="Arial"/>
          <w:sz w:val="22"/>
          <w:szCs w:val="22"/>
        </w:rPr>
        <w:t xml:space="preserve"> mes de </w:t>
      </w:r>
      <w:r w:rsidR="006E1D43">
        <w:rPr>
          <w:rFonts w:ascii="Museo Sans 300" w:hAnsi="Museo Sans 300" w:cs="Arial"/>
          <w:sz w:val="22"/>
          <w:szCs w:val="22"/>
        </w:rPr>
        <w:t>septiembre</w:t>
      </w:r>
      <w:r w:rsidRPr="00085CF5">
        <w:rPr>
          <w:rFonts w:ascii="Museo Sans 300" w:hAnsi="Museo Sans 300" w:cs="Arial"/>
          <w:sz w:val="22"/>
          <w:szCs w:val="22"/>
        </w:rPr>
        <w:t xml:space="preserve"> 2022</w:t>
      </w:r>
      <w:r w:rsidR="007F26DD">
        <w:rPr>
          <w:rFonts w:ascii="Museo Sans 300" w:hAnsi="Museo Sans 300" w:cs="Arial"/>
          <w:sz w:val="22"/>
          <w:szCs w:val="22"/>
        </w:rPr>
        <w:t>.</w:t>
      </w:r>
    </w:p>
    <w:p w:rsidR="00085CF5" w:rsidRDefault="00085CF5" w:rsidP="00EE6B48">
      <w:pPr>
        <w:jc w:val="both"/>
        <w:rPr>
          <w:rFonts w:ascii="Museo Sans 300" w:hAnsi="Museo Sans 300" w:cs="Arial"/>
          <w:sz w:val="22"/>
          <w:szCs w:val="22"/>
        </w:rPr>
      </w:pPr>
    </w:p>
    <w:p w:rsidR="00CB6C20" w:rsidRPr="00CD1FD1" w:rsidRDefault="00CB6C2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2: </w:t>
      </w:r>
      <w:r w:rsidRPr="00BB3C83">
        <w:rPr>
          <w:rFonts w:ascii="Museo Sans 300" w:hAnsi="Museo Sans 300"/>
          <w:sz w:val="22"/>
          <w:szCs w:val="22"/>
          <w:lang w:val="es-MX"/>
        </w:rPr>
        <w:t xml:space="preserve">Ingresos tributarios del SPNF </w:t>
      </w:r>
      <w:r w:rsidR="00F05512" w:rsidRPr="00BB3C83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A3430E">
        <w:rPr>
          <w:rFonts w:ascii="Museo Sans 300" w:hAnsi="Museo Sans 300"/>
          <w:sz w:val="22"/>
          <w:szCs w:val="22"/>
          <w:lang w:val="es-MX"/>
        </w:rPr>
        <w:t>septiembre</w:t>
      </w:r>
      <w:r w:rsidRPr="00BB3C83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042C94" w:rsidRPr="00BB3C83">
        <w:rPr>
          <w:rFonts w:ascii="Museo Sans 300" w:hAnsi="Museo Sans 300"/>
          <w:sz w:val="22"/>
          <w:szCs w:val="22"/>
          <w:lang w:val="es-MX"/>
        </w:rPr>
        <w:t>14</w:t>
      </w:r>
      <w:r w:rsidRPr="00BB3C83">
        <w:rPr>
          <w:rFonts w:ascii="Museo Sans 300" w:hAnsi="Museo Sans 300"/>
          <w:sz w:val="22"/>
          <w:szCs w:val="22"/>
          <w:lang w:val="es-MX"/>
        </w:rPr>
        <w:t xml:space="preserve"> -</w:t>
      </w:r>
      <w:r w:rsidR="00042C94" w:rsidRPr="00BB3C83">
        <w:rPr>
          <w:rFonts w:ascii="Museo Sans 300" w:hAnsi="Museo Sans 300"/>
          <w:sz w:val="22"/>
          <w:szCs w:val="22"/>
          <w:lang w:val="es-MX"/>
        </w:rPr>
        <w:t>202</w:t>
      </w:r>
      <w:r w:rsidR="00411F3D" w:rsidRPr="00BB3C83">
        <w:rPr>
          <w:rFonts w:ascii="Museo Sans 300" w:hAnsi="Museo Sans 300"/>
          <w:sz w:val="22"/>
          <w:szCs w:val="22"/>
          <w:lang w:val="es-MX"/>
        </w:rPr>
        <w:t>2</w:t>
      </w:r>
    </w:p>
    <w:p w:rsidR="001E1C63" w:rsidRPr="00CD1FD1" w:rsidRDefault="001E1C63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C388F" w:rsidRPr="00CD1FD1" w:rsidRDefault="00ED3D89" w:rsidP="00FD18DF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ED3D89">
        <w:rPr>
          <w:rFonts w:ascii="Museo Sans 300" w:hAnsi="Museo Sans 300"/>
          <w:sz w:val="22"/>
          <w:szCs w:val="22"/>
          <w:lang w:val="es-MX"/>
        </w:rPr>
        <w:t xml:space="preserve"> </w:t>
      </w:r>
      <w:r w:rsidR="00DE2D9B" w:rsidRPr="00DE2D9B">
        <w:rPr>
          <w:noProof/>
        </w:rPr>
        <w:drawing>
          <wp:inline distT="0" distB="0" distL="0" distR="0" wp14:anchorId="6E774DDC" wp14:editId="71F2D39A">
            <wp:extent cx="5002305" cy="2998042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379" cy="30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DD" w:rsidRDefault="007F26DD" w:rsidP="00177F94">
      <w:pPr>
        <w:jc w:val="both"/>
        <w:rPr>
          <w:rFonts w:ascii="Museo Sans 300" w:hAnsi="Museo Sans 300" w:cs="Arial"/>
          <w:sz w:val="22"/>
          <w:szCs w:val="22"/>
        </w:rPr>
      </w:pPr>
    </w:p>
    <w:p w:rsidR="00177F94" w:rsidRPr="00212C48" w:rsidRDefault="00177F94" w:rsidP="00177F94">
      <w:pPr>
        <w:jc w:val="both"/>
        <w:rPr>
          <w:rFonts w:ascii="Museo Sans 300" w:hAnsi="Museo Sans 300" w:cs="Arial"/>
          <w:sz w:val="22"/>
          <w:szCs w:val="22"/>
        </w:rPr>
      </w:pPr>
      <w:r w:rsidRPr="00212C48">
        <w:rPr>
          <w:rFonts w:ascii="Museo Sans 300" w:hAnsi="Museo Sans 300" w:cs="Arial"/>
          <w:sz w:val="22"/>
          <w:szCs w:val="22"/>
        </w:rPr>
        <w:t xml:space="preserve">En cuanto a los Impuestos Específicos al Consumo de </w:t>
      </w:r>
      <w:r w:rsidR="00DE2D9B">
        <w:rPr>
          <w:rFonts w:ascii="Museo Sans 300" w:hAnsi="Museo Sans 300" w:cs="Arial"/>
          <w:sz w:val="22"/>
          <w:szCs w:val="22"/>
        </w:rPr>
        <w:t>P</w:t>
      </w:r>
      <w:r w:rsidRPr="00212C48">
        <w:rPr>
          <w:rFonts w:ascii="Museo Sans 300" w:hAnsi="Museo Sans 300" w:cs="Arial"/>
          <w:sz w:val="22"/>
          <w:szCs w:val="22"/>
        </w:rPr>
        <w:t>roductos, registraron un valor de $1</w:t>
      </w:r>
      <w:r w:rsidR="00247F7F">
        <w:rPr>
          <w:rFonts w:ascii="Museo Sans 300" w:hAnsi="Museo Sans 300" w:cs="Arial"/>
          <w:sz w:val="22"/>
          <w:szCs w:val="22"/>
        </w:rPr>
        <w:t>71.</w:t>
      </w:r>
      <w:r w:rsidRPr="00212C48">
        <w:rPr>
          <w:rFonts w:ascii="Museo Sans 300" w:hAnsi="Museo Sans 300" w:cs="Arial"/>
          <w:sz w:val="22"/>
          <w:szCs w:val="22"/>
        </w:rPr>
        <w:t>4 millones, equivale</w:t>
      </w:r>
      <w:r w:rsidR="00447D6A">
        <w:rPr>
          <w:rFonts w:ascii="Museo Sans 300" w:hAnsi="Museo Sans 300" w:cs="Arial"/>
          <w:sz w:val="22"/>
          <w:szCs w:val="22"/>
        </w:rPr>
        <w:t>nte</w:t>
      </w:r>
      <w:r w:rsidRPr="00212C48">
        <w:rPr>
          <w:rFonts w:ascii="Museo Sans 300" w:hAnsi="Museo Sans 300" w:cs="Arial"/>
          <w:sz w:val="22"/>
          <w:szCs w:val="22"/>
        </w:rPr>
        <w:t xml:space="preserve"> a un crecimiento de </w:t>
      </w:r>
      <w:r w:rsidR="00247F7F">
        <w:rPr>
          <w:rFonts w:ascii="Museo Sans 300" w:hAnsi="Museo Sans 300" w:cs="Arial"/>
          <w:sz w:val="22"/>
          <w:szCs w:val="22"/>
        </w:rPr>
        <w:t>2</w:t>
      </w:r>
      <w:r w:rsidRPr="00212C48">
        <w:rPr>
          <w:rFonts w:ascii="Museo Sans 300" w:hAnsi="Museo Sans 300" w:cs="Arial"/>
          <w:sz w:val="22"/>
          <w:szCs w:val="22"/>
        </w:rPr>
        <w:t xml:space="preserve">.8%, resultado neto de incrementos y disminuciones en sus componentes, donde destaca el aumento del impuesto a la cerveza en </w:t>
      </w:r>
      <w:r w:rsidR="007F4CEB">
        <w:rPr>
          <w:rFonts w:ascii="Museo Sans 300" w:hAnsi="Museo Sans 300" w:cs="Arial"/>
          <w:sz w:val="22"/>
          <w:szCs w:val="22"/>
        </w:rPr>
        <w:t>16.8</w:t>
      </w:r>
      <w:r w:rsidRPr="00212C48">
        <w:rPr>
          <w:rFonts w:ascii="Museo Sans 300" w:hAnsi="Museo Sans 300" w:cs="Arial"/>
          <w:sz w:val="22"/>
          <w:szCs w:val="22"/>
        </w:rPr>
        <w:t xml:space="preserve">% y la disminución en productos alcohólicos de </w:t>
      </w:r>
      <w:r w:rsidR="007F4CEB">
        <w:rPr>
          <w:rFonts w:ascii="Museo Sans 300" w:hAnsi="Museo Sans 300" w:cs="Arial"/>
          <w:sz w:val="22"/>
          <w:szCs w:val="22"/>
        </w:rPr>
        <w:t>20.5</w:t>
      </w:r>
      <w:r w:rsidRPr="00212C48">
        <w:rPr>
          <w:rFonts w:ascii="Museo Sans 300" w:hAnsi="Museo Sans 300" w:cs="Arial"/>
          <w:sz w:val="22"/>
          <w:szCs w:val="22"/>
        </w:rPr>
        <w:t>%.</w:t>
      </w:r>
    </w:p>
    <w:p w:rsidR="00212C48" w:rsidRPr="00212C48" w:rsidRDefault="00212C48" w:rsidP="00177F94">
      <w:pPr>
        <w:jc w:val="both"/>
        <w:rPr>
          <w:rFonts w:ascii="Museo Sans 300" w:hAnsi="Museo Sans 300" w:cs="Arial"/>
          <w:sz w:val="22"/>
          <w:szCs w:val="22"/>
        </w:rPr>
      </w:pPr>
    </w:p>
    <w:p w:rsidR="00212C48" w:rsidRPr="00AA7611" w:rsidRDefault="00212C48" w:rsidP="00212C48">
      <w:pPr>
        <w:jc w:val="both"/>
        <w:rPr>
          <w:rFonts w:ascii="Museo Sans 300" w:hAnsi="Museo Sans 300" w:cs="Arial"/>
          <w:strike/>
          <w:sz w:val="22"/>
          <w:szCs w:val="22"/>
        </w:rPr>
      </w:pPr>
      <w:r w:rsidRPr="00212C48">
        <w:rPr>
          <w:rFonts w:ascii="Museo Sans 300" w:hAnsi="Museo Sans 300" w:cs="Arial"/>
          <w:sz w:val="22"/>
          <w:szCs w:val="22"/>
        </w:rPr>
        <w:lastRenderedPageBreak/>
        <w:t>Las Contribuciones Especiales alcanzaron un valor de $</w:t>
      </w:r>
      <w:r w:rsidR="007F4CEB">
        <w:rPr>
          <w:rFonts w:ascii="Museo Sans 300" w:hAnsi="Museo Sans 300" w:cs="Arial"/>
          <w:sz w:val="22"/>
          <w:szCs w:val="22"/>
        </w:rPr>
        <w:t>109.2</w:t>
      </w:r>
      <w:r w:rsidRPr="00212C48">
        <w:rPr>
          <w:rFonts w:ascii="Museo Sans 300" w:hAnsi="Museo Sans 300" w:cs="Arial"/>
          <w:sz w:val="22"/>
          <w:szCs w:val="22"/>
        </w:rPr>
        <w:t xml:space="preserve"> millones, experimentando una reducción de $</w:t>
      </w:r>
      <w:r w:rsidR="007F4CEB">
        <w:rPr>
          <w:rFonts w:ascii="Museo Sans 300" w:hAnsi="Museo Sans 300" w:cs="Arial"/>
          <w:sz w:val="22"/>
          <w:szCs w:val="22"/>
        </w:rPr>
        <w:t>87.9</w:t>
      </w:r>
      <w:r w:rsidRPr="00212C48">
        <w:rPr>
          <w:rFonts w:ascii="Museo Sans 300" w:hAnsi="Museo Sans 300" w:cs="Arial"/>
          <w:sz w:val="22"/>
          <w:szCs w:val="22"/>
        </w:rPr>
        <w:t xml:space="preserve"> millones, con relación al año anterior, básicamente por la finalización de la vigencia de la Contribución Especial a Grandes Contribuyentes que estaba orientada a la Seguridad Pública</w:t>
      </w:r>
      <w:r w:rsidRPr="00285FD5">
        <w:rPr>
          <w:rFonts w:ascii="Museo Sans 300" w:hAnsi="Museo Sans 300" w:cs="Arial"/>
          <w:sz w:val="22"/>
          <w:szCs w:val="22"/>
        </w:rPr>
        <w:t xml:space="preserve">, </w:t>
      </w:r>
      <w:r w:rsidR="00160CCF" w:rsidRPr="00285FD5">
        <w:rPr>
          <w:rFonts w:ascii="Museo Sans 300" w:hAnsi="Museo Sans 300" w:cs="Arial"/>
          <w:sz w:val="22"/>
          <w:szCs w:val="22"/>
        </w:rPr>
        <w:t xml:space="preserve">y </w:t>
      </w:r>
      <w:r w:rsidR="00DE2D9B">
        <w:rPr>
          <w:rFonts w:ascii="Museo Sans 300" w:hAnsi="Museo Sans 300" w:cs="Arial"/>
          <w:sz w:val="22"/>
          <w:szCs w:val="22"/>
        </w:rPr>
        <w:t>además</w:t>
      </w:r>
      <w:r w:rsidRPr="00212C48">
        <w:rPr>
          <w:rFonts w:ascii="Museo Sans 300" w:hAnsi="Museo Sans 300" w:cs="Arial"/>
          <w:sz w:val="22"/>
          <w:szCs w:val="22"/>
        </w:rPr>
        <w:t xml:space="preserve"> </w:t>
      </w:r>
      <w:r w:rsidR="00AA7611">
        <w:rPr>
          <w:rFonts w:ascii="Museo Sans 300" w:hAnsi="Museo Sans 300" w:cs="Arial"/>
          <w:sz w:val="22"/>
          <w:szCs w:val="22"/>
        </w:rPr>
        <w:t xml:space="preserve">por la suspensión temporal de la Contribución Especial </w:t>
      </w:r>
      <w:r w:rsidRPr="00212C48">
        <w:rPr>
          <w:rFonts w:ascii="Museo Sans 300" w:hAnsi="Museo Sans 300" w:cs="Arial"/>
          <w:sz w:val="22"/>
          <w:szCs w:val="22"/>
        </w:rPr>
        <w:t>del Transporte</w:t>
      </w:r>
      <w:r w:rsidR="00AA7611">
        <w:rPr>
          <w:rFonts w:ascii="Museo Sans 300" w:hAnsi="Museo Sans 300" w:cs="Arial"/>
          <w:sz w:val="22"/>
          <w:szCs w:val="22"/>
        </w:rPr>
        <w:t xml:space="preserve">, como parte de las medidas </w:t>
      </w:r>
      <w:r w:rsidR="00057584">
        <w:rPr>
          <w:rFonts w:ascii="Museo Sans 300" w:hAnsi="Museo Sans 300" w:cs="Arial"/>
          <w:sz w:val="22"/>
          <w:szCs w:val="22"/>
        </w:rPr>
        <w:t xml:space="preserve">para contrarrestar </w:t>
      </w:r>
      <w:r w:rsidR="00AA7611">
        <w:rPr>
          <w:rFonts w:ascii="Museo Sans 300" w:hAnsi="Museo Sans 300" w:cs="Arial"/>
          <w:sz w:val="22"/>
          <w:szCs w:val="22"/>
        </w:rPr>
        <w:t>el impacto de la inflación</w:t>
      </w:r>
      <w:r w:rsidR="00736F88">
        <w:rPr>
          <w:rFonts w:ascii="Museo Sans 300" w:hAnsi="Museo Sans 300" w:cs="Arial"/>
          <w:sz w:val="22"/>
          <w:szCs w:val="22"/>
        </w:rPr>
        <w:t>, al mes de</w:t>
      </w:r>
      <w:r w:rsidR="00AA7611">
        <w:rPr>
          <w:rFonts w:ascii="Museo Sans 300" w:hAnsi="Museo Sans 300" w:cs="Arial"/>
          <w:sz w:val="22"/>
          <w:szCs w:val="22"/>
        </w:rPr>
        <w:t xml:space="preserve"> </w:t>
      </w:r>
      <w:r w:rsidR="006E1D43">
        <w:rPr>
          <w:rFonts w:ascii="Museo Sans 300" w:hAnsi="Museo Sans 300" w:cs="Arial"/>
          <w:sz w:val="22"/>
          <w:szCs w:val="22"/>
        </w:rPr>
        <w:t>septiembre</w:t>
      </w:r>
      <w:r w:rsidR="00AA7611">
        <w:rPr>
          <w:rFonts w:ascii="Museo Sans 300" w:hAnsi="Museo Sans 300" w:cs="Arial"/>
          <w:sz w:val="22"/>
          <w:szCs w:val="22"/>
        </w:rPr>
        <w:t xml:space="preserve"> se ha recaudado solamente </w:t>
      </w:r>
      <w:r w:rsidR="00447D6A">
        <w:rPr>
          <w:rFonts w:ascii="Museo Sans 300" w:hAnsi="Museo Sans 300" w:cs="Arial"/>
          <w:sz w:val="22"/>
          <w:szCs w:val="22"/>
        </w:rPr>
        <w:t>$</w:t>
      </w:r>
      <w:r w:rsidR="00736F88">
        <w:rPr>
          <w:rFonts w:ascii="Museo Sans 300" w:hAnsi="Museo Sans 300" w:cs="Arial"/>
          <w:sz w:val="22"/>
          <w:szCs w:val="22"/>
        </w:rPr>
        <w:t>15.8</w:t>
      </w:r>
      <w:r w:rsidR="00447D6A">
        <w:rPr>
          <w:rFonts w:ascii="Museo Sans 300" w:hAnsi="Museo Sans 300" w:cs="Arial"/>
          <w:sz w:val="22"/>
          <w:szCs w:val="22"/>
        </w:rPr>
        <w:t xml:space="preserve"> millones</w:t>
      </w:r>
      <w:r w:rsidR="00736F88">
        <w:rPr>
          <w:rFonts w:ascii="Museo Sans 300" w:hAnsi="Museo Sans 300" w:cs="Arial"/>
          <w:sz w:val="22"/>
          <w:szCs w:val="22"/>
        </w:rPr>
        <w:t xml:space="preserve"> ( </w:t>
      </w:r>
      <w:r w:rsidR="00BF40B0">
        <w:rPr>
          <w:rFonts w:ascii="Museo Sans 300" w:hAnsi="Museo Sans 300" w:cs="Arial"/>
          <w:sz w:val="22"/>
          <w:szCs w:val="22"/>
        </w:rPr>
        <w:t>durante los meses de</w:t>
      </w:r>
      <w:r w:rsidR="00736F88">
        <w:rPr>
          <w:rFonts w:ascii="Museo Sans 300" w:hAnsi="Museo Sans 300" w:cs="Arial"/>
          <w:sz w:val="22"/>
          <w:szCs w:val="22"/>
        </w:rPr>
        <w:t xml:space="preserve"> enero -abril)</w:t>
      </w:r>
      <w:r w:rsidR="00AA7611">
        <w:rPr>
          <w:rFonts w:ascii="Museo Sans 300" w:hAnsi="Museo Sans 300" w:cs="Arial"/>
          <w:sz w:val="22"/>
          <w:szCs w:val="22"/>
        </w:rPr>
        <w:t xml:space="preserve">. </w:t>
      </w:r>
    </w:p>
    <w:p w:rsidR="00177F94" w:rsidRPr="00212C48" w:rsidRDefault="00177F94" w:rsidP="00177F94">
      <w:pPr>
        <w:jc w:val="both"/>
        <w:rPr>
          <w:rFonts w:ascii="Museo Sans 300" w:hAnsi="Museo Sans 300" w:cs="Arial"/>
          <w:sz w:val="22"/>
          <w:szCs w:val="22"/>
        </w:rPr>
      </w:pPr>
    </w:p>
    <w:p w:rsidR="00BF745F" w:rsidRPr="00CD1FD1" w:rsidRDefault="00BF745F" w:rsidP="00BF745F">
      <w:pPr>
        <w:jc w:val="both"/>
        <w:rPr>
          <w:rFonts w:ascii="Museo Sans 300" w:hAnsi="Museo Sans 300" w:cs="Arial"/>
          <w:sz w:val="22"/>
          <w:szCs w:val="22"/>
        </w:rPr>
      </w:pPr>
      <w:r w:rsidRPr="00CD1FD1">
        <w:rPr>
          <w:rFonts w:ascii="Museo Sans 300" w:hAnsi="Museo Sans 300" w:cs="Arial"/>
          <w:sz w:val="22"/>
          <w:szCs w:val="22"/>
        </w:rPr>
        <w:t xml:space="preserve">En el rubro </w:t>
      </w:r>
      <w:r w:rsidR="00420EE2" w:rsidRPr="00CD1FD1">
        <w:rPr>
          <w:rFonts w:ascii="Museo Sans 300" w:hAnsi="Museo Sans 300" w:cs="Arial"/>
          <w:sz w:val="22"/>
          <w:szCs w:val="22"/>
        </w:rPr>
        <w:t>O</w:t>
      </w:r>
      <w:r w:rsidRPr="00CD1FD1">
        <w:rPr>
          <w:rFonts w:ascii="Museo Sans 300" w:hAnsi="Museo Sans 300" w:cs="Arial"/>
          <w:sz w:val="22"/>
          <w:szCs w:val="22"/>
        </w:rPr>
        <w:t xml:space="preserve">tros, </w:t>
      </w:r>
      <w:r w:rsidR="0041785E" w:rsidRPr="00CD1FD1">
        <w:rPr>
          <w:rFonts w:ascii="Museo Sans 300" w:hAnsi="Museo Sans 300" w:cs="Arial"/>
          <w:sz w:val="22"/>
          <w:szCs w:val="22"/>
        </w:rPr>
        <w:t>compuesto principalmente por transferencia</w:t>
      </w:r>
      <w:r w:rsidR="00530B1E" w:rsidRPr="00CD1FD1">
        <w:rPr>
          <w:rFonts w:ascii="Museo Sans 300" w:hAnsi="Museo Sans 300" w:cs="Arial"/>
          <w:sz w:val="22"/>
          <w:szCs w:val="22"/>
        </w:rPr>
        <w:t>s</w:t>
      </w:r>
      <w:r w:rsidR="0041785E" w:rsidRPr="00CD1FD1">
        <w:rPr>
          <w:rFonts w:ascii="Museo Sans 300" w:hAnsi="Museo Sans 300" w:cs="Arial"/>
          <w:sz w:val="22"/>
          <w:szCs w:val="22"/>
        </w:rPr>
        <w:t xml:space="preserve"> de propiedades y el impuesto especial 1ª. Matricula, </w:t>
      </w:r>
      <w:r w:rsidRPr="00CD1FD1">
        <w:rPr>
          <w:rFonts w:ascii="Museo Sans 300" w:hAnsi="Museo Sans 300" w:cs="Arial"/>
          <w:sz w:val="22"/>
          <w:szCs w:val="22"/>
        </w:rPr>
        <w:t>la recaudación ascendió a $</w:t>
      </w:r>
      <w:r w:rsidR="00FA0EED">
        <w:rPr>
          <w:rFonts w:ascii="Museo Sans 300" w:hAnsi="Museo Sans 300" w:cs="Arial"/>
          <w:sz w:val="22"/>
          <w:szCs w:val="22"/>
        </w:rPr>
        <w:t>52.3</w:t>
      </w:r>
      <w:r w:rsidR="00E82404" w:rsidRPr="00CD1FD1">
        <w:rPr>
          <w:rFonts w:ascii="Museo Sans 300" w:hAnsi="Museo Sans 300" w:cs="Arial"/>
          <w:sz w:val="22"/>
          <w:szCs w:val="22"/>
        </w:rPr>
        <w:t xml:space="preserve"> </w:t>
      </w:r>
      <w:r w:rsidRPr="00CD1FD1">
        <w:rPr>
          <w:rFonts w:ascii="Museo Sans 300" w:hAnsi="Museo Sans 300" w:cs="Arial"/>
          <w:sz w:val="22"/>
          <w:szCs w:val="22"/>
        </w:rPr>
        <w:t xml:space="preserve">millones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con un </w:t>
      </w:r>
      <w:r w:rsidR="00101DFA" w:rsidRPr="00CD1FD1">
        <w:rPr>
          <w:rFonts w:ascii="Museo Sans 300" w:hAnsi="Museo Sans 300" w:cs="Arial"/>
          <w:sz w:val="22"/>
          <w:szCs w:val="22"/>
          <w:lang w:val="es-419"/>
        </w:rPr>
        <w:t>c</w:t>
      </w:r>
      <w:r w:rsidRPr="00CD1FD1">
        <w:rPr>
          <w:rFonts w:ascii="Museo Sans 300" w:hAnsi="Museo Sans 300" w:cs="Arial"/>
          <w:sz w:val="22"/>
          <w:szCs w:val="22"/>
          <w:lang w:val="es-419"/>
        </w:rPr>
        <w:t>recimiento de</w:t>
      </w:r>
      <w:r w:rsidRPr="00CD1FD1">
        <w:rPr>
          <w:rFonts w:ascii="Museo Sans 300" w:hAnsi="Museo Sans 300" w:cs="Arial"/>
          <w:sz w:val="22"/>
          <w:szCs w:val="22"/>
          <w:lang w:val="es-SV"/>
        </w:rPr>
        <w:t>l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="00D075C4">
        <w:rPr>
          <w:rFonts w:ascii="Museo Sans 300" w:hAnsi="Museo Sans 300" w:cs="Arial"/>
          <w:sz w:val="22"/>
          <w:szCs w:val="22"/>
          <w:lang w:val="es-419"/>
        </w:rPr>
        <w:t>18.3</w:t>
      </w:r>
      <w:r w:rsidRPr="00447D6A">
        <w:rPr>
          <w:rFonts w:ascii="Museo Sans 300" w:hAnsi="Museo Sans 300" w:cs="Arial"/>
          <w:sz w:val="22"/>
          <w:szCs w:val="22"/>
          <w:lang w:val="es-SV"/>
        </w:rPr>
        <w:t>%</w:t>
      </w:r>
      <w:r w:rsidRPr="00447D6A">
        <w:rPr>
          <w:rFonts w:ascii="Museo Sans 300" w:hAnsi="Museo Sans 300" w:cs="Arial"/>
          <w:sz w:val="22"/>
          <w:szCs w:val="22"/>
          <w:lang w:val="es-419"/>
        </w:rPr>
        <w:t xml:space="preserve"> con respecto al resultado obtenido en </w:t>
      </w:r>
      <w:r w:rsidR="006E1D43">
        <w:rPr>
          <w:rFonts w:ascii="Museo Sans 300" w:hAnsi="Museo Sans 300" w:cs="Arial"/>
          <w:sz w:val="22"/>
          <w:szCs w:val="22"/>
          <w:lang w:val="es-419"/>
        </w:rPr>
        <w:t>septiembre</w:t>
      </w:r>
      <w:r w:rsidRPr="00447D6A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="00581B7E" w:rsidRPr="00447D6A">
        <w:rPr>
          <w:rFonts w:ascii="Museo Sans 300" w:hAnsi="Museo Sans 300" w:cs="Arial"/>
          <w:sz w:val="22"/>
          <w:szCs w:val="22"/>
        </w:rPr>
        <w:t>2021</w:t>
      </w:r>
      <w:r w:rsidR="00137776" w:rsidRPr="00447D6A">
        <w:rPr>
          <w:rFonts w:ascii="Museo Sans 300" w:hAnsi="Museo Sans 300" w:cs="Arial"/>
          <w:sz w:val="22"/>
          <w:szCs w:val="22"/>
        </w:rPr>
        <w:t>.</w:t>
      </w:r>
    </w:p>
    <w:p w:rsidR="00BF745F" w:rsidRPr="00CD1FD1" w:rsidRDefault="00BF745F" w:rsidP="00CB6C20">
      <w:pPr>
        <w:jc w:val="center"/>
        <w:rPr>
          <w:rFonts w:ascii="Museo Sans 300" w:hAnsi="Museo Sans 300"/>
          <w:sz w:val="22"/>
          <w:szCs w:val="22"/>
        </w:rPr>
      </w:pPr>
    </w:p>
    <w:p w:rsidR="00CB6C20" w:rsidRPr="00CD1FD1" w:rsidRDefault="00CB6C2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Gráfico 3</w:t>
      </w:r>
      <w:r w:rsidRPr="00447D6A">
        <w:rPr>
          <w:rFonts w:ascii="Museo Sans 300" w:hAnsi="Museo Sans 300"/>
          <w:sz w:val="22"/>
          <w:szCs w:val="22"/>
          <w:lang w:val="es-MX"/>
        </w:rPr>
        <w:t>: Ingresos tr</w:t>
      </w:r>
      <w:r w:rsidRPr="00CD1FD1">
        <w:rPr>
          <w:rFonts w:ascii="Museo Sans 300" w:hAnsi="Museo Sans 300"/>
          <w:sz w:val="22"/>
          <w:szCs w:val="22"/>
          <w:lang w:val="es-MX"/>
        </w:rPr>
        <w:t>ibutarios del SPNF por fuente</w:t>
      </w:r>
      <w:r w:rsidR="000B1B60" w:rsidRPr="00CD1FD1">
        <w:rPr>
          <w:rFonts w:ascii="Museo Sans 300" w:hAnsi="Museo Sans 300"/>
          <w:sz w:val="22"/>
          <w:szCs w:val="22"/>
          <w:lang w:val="es-MX"/>
        </w:rPr>
        <w:t>s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05512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A3430E">
        <w:rPr>
          <w:rFonts w:ascii="Museo Sans 300" w:hAnsi="Museo Sans 300"/>
          <w:sz w:val="22"/>
          <w:szCs w:val="22"/>
          <w:lang w:val="es-MX"/>
        </w:rPr>
        <w:t>septiembre</w:t>
      </w:r>
      <w:r w:rsidR="001C00F7" w:rsidRPr="00CD1FD1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563EE7" w:rsidRPr="00CD1FD1">
        <w:rPr>
          <w:rFonts w:ascii="Museo Sans 300" w:hAnsi="Museo Sans 300"/>
          <w:sz w:val="22"/>
          <w:szCs w:val="22"/>
          <w:lang w:val="es-MX"/>
        </w:rPr>
        <w:t>1</w:t>
      </w:r>
      <w:r w:rsidR="00E218E0" w:rsidRPr="00CD1FD1">
        <w:rPr>
          <w:rFonts w:ascii="Museo Sans 300" w:hAnsi="Museo Sans 300"/>
          <w:sz w:val="22"/>
          <w:szCs w:val="22"/>
          <w:lang w:val="es-MX"/>
        </w:rPr>
        <w:t>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202</w:t>
      </w:r>
      <w:r w:rsidR="00411F3D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7A6BC6" w:rsidRPr="00ED3D89" w:rsidRDefault="007A6BC6" w:rsidP="00CB6C20">
      <w:pPr>
        <w:jc w:val="center"/>
        <w:rPr>
          <w:rFonts w:ascii="Museo Sans 300" w:hAnsi="Museo Sans 300"/>
          <w:sz w:val="12"/>
          <w:szCs w:val="12"/>
          <w:lang w:val="es-MX"/>
        </w:rPr>
      </w:pPr>
    </w:p>
    <w:p w:rsidR="001E1C63" w:rsidRDefault="00A3430E" w:rsidP="00CB6C20">
      <w:pPr>
        <w:jc w:val="center"/>
        <w:rPr>
          <w:rFonts w:ascii="Museo Sans 300" w:hAnsi="Museo Sans 300"/>
          <w:sz w:val="22"/>
          <w:szCs w:val="22"/>
          <w:lang w:val="es-SV"/>
        </w:rPr>
      </w:pPr>
      <w:r w:rsidRPr="00A3430E">
        <w:rPr>
          <w:noProof/>
        </w:rPr>
        <w:drawing>
          <wp:inline distT="0" distB="0" distL="0" distR="0" wp14:anchorId="0BACA8DE" wp14:editId="79D7121B">
            <wp:extent cx="5331921" cy="2801828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095" cy="281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14" w:rsidRPr="00ED3D89" w:rsidRDefault="00DE2D9B" w:rsidP="00DE2D9B">
      <w:pPr>
        <w:rPr>
          <w:rFonts w:ascii="Museo Sans 300" w:hAnsi="Museo Sans 300"/>
          <w:b/>
          <w:sz w:val="16"/>
          <w:szCs w:val="16"/>
          <w:lang w:val="es-SV"/>
        </w:rPr>
      </w:pPr>
      <w:r>
        <w:rPr>
          <w:rFonts w:ascii="Museo Sans 300" w:hAnsi="Museo Sans 300"/>
          <w:b/>
          <w:sz w:val="16"/>
          <w:szCs w:val="16"/>
          <w:lang w:val="es-SV"/>
        </w:rPr>
        <w:t xml:space="preserve">              </w:t>
      </w:r>
      <w:r w:rsidR="00ED3D89" w:rsidRPr="00ED3D89">
        <w:rPr>
          <w:rFonts w:ascii="Museo Sans 300" w:hAnsi="Museo Sans 300"/>
          <w:b/>
          <w:sz w:val="16"/>
          <w:szCs w:val="16"/>
          <w:lang w:val="es-SV"/>
        </w:rPr>
        <w:t xml:space="preserve">Fuente: Ministerio de Hacienda </w:t>
      </w:r>
    </w:p>
    <w:p w:rsidR="00ED3D89" w:rsidRPr="00ED3D89" w:rsidRDefault="00ED3D89" w:rsidP="001E1C63">
      <w:pPr>
        <w:jc w:val="center"/>
        <w:rPr>
          <w:rFonts w:ascii="Museo Sans 300" w:hAnsi="Museo Sans 300"/>
          <w:sz w:val="12"/>
          <w:szCs w:val="12"/>
          <w:lang w:val="es-MX"/>
        </w:rPr>
      </w:pPr>
    </w:p>
    <w:p w:rsidR="00724FE8" w:rsidRDefault="00724FE8" w:rsidP="00790662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790662" w:rsidRPr="00CD1FD1" w:rsidRDefault="00790662" w:rsidP="00790662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En la siguiente tabla se muestra el comportamiento de los ingresos tributarios, tanto en millones de dólares, como en porcentaje que representa respecto al total y su composición por rubro para formar la carga tributaria.</w:t>
      </w:r>
    </w:p>
    <w:p w:rsidR="00BD2BF4" w:rsidRPr="00ED3D89" w:rsidRDefault="00BD2BF4" w:rsidP="00790662">
      <w:pPr>
        <w:jc w:val="both"/>
        <w:rPr>
          <w:rFonts w:ascii="Museo Sans 300" w:hAnsi="Museo Sans 300"/>
          <w:sz w:val="12"/>
          <w:szCs w:val="1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E2D9B" w:rsidRDefault="00DE2D9B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E2D9B" w:rsidRDefault="00DE2D9B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E2D9B" w:rsidRDefault="00DE2D9B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E2D9B" w:rsidRDefault="00DE2D9B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E6FEC" w:rsidRDefault="009E6FEC">
      <w:pPr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br w:type="page"/>
      </w:r>
    </w:p>
    <w:p w:rsidR="009C3D3C" w:rsidRDefault="009C3D3C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BE54F5" w:rsidRPr="00CD1FD1" w:rsidRDefault="00BB3C83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>T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abla No. </w:t>
      </w:r>
      <w:r w:rsidR="009A14E6" w:rsidRPr="00CD1FD1">
        <w:rPr>
          <w:rFonts w:ascii="Museo Sans 300" w:hAnsi="Museo Sans 300"/>
          <w:sz w:val="22"/>
          <w:szCs w:val="22"/>
          <w:lang w:val="es-MX"/>
        </w:rPr>
        <w:t>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Estructura de Ingresos Tributarios </w:t>
      </w:r>
      <w:r w:rsidR="00532FE5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A3430E">
        <w:rPr>
          <w:rFonts w:ascii="Museo Sans 300" w:hAnsi="Museo Sans 300"/>
          <w:sz w:val="22"/>
          <w:szCs w:val="22"/>
          <w:lang w:val="es-MX"/>
        </w:rPr>
        <w:t>septiembre</w:t>
      </w:r>
      <w:r w:rsidR="00532FE5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20</w:t>
      </w:r>
      <w:r w:rsidR="00A80A13" w:rsidRPr="00CD1FD1">
        <w:rPr>
          <w:rFonts w:ascii="Museo Sans 300" w:hAnsi="Museo Sans 300"/>
          <w:sz w:val="22"/>
          <w:szCs w:val="22"/>
          <w:lang w:val="es-MX"/>
        </w:rPr>
        <w:t>1</w:t>
      </w:r>
      <w:r w:rsidR="00E218E0" w:rsidRPr="00CD1FD1">
        <w:rPr>
          <w:rFonts w:ascii="Museo Sans 300" w:hAnsi="Museo Sans 300"/>
          <w:sz w:val="22"/>
          <w:szCs w:val="22"/>
          <w:lang w:val="es-MX"/>
        </w:rPr>
        <w:t>4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- 20</w:t>
      </w:r>
      <w:r w:rsidR="00E218E0" w:rsidRPr="00CD1FD1">
        <w:rPr>
          <w:rFonts w:ascii="Museo Sans 300" w:hAnsi="Museo Sans 300"/>
          <w:sz w:val="22"/>
          <w:szCs w:val="22"/>
          <w:lang w:val="es-MX"/>
        </w:rPr>
        <w:t>2</w:t>
      </w:r>
      <w:r w:rsidR="00411F3D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BE54F5" w:rsidRPr="00CD1FD1" w:rsidRDefault="00BE54F5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(Millones de $, como % del total de ingresos y % del PIB)</w:t>
      </w:r>
      <w:r w:rsidR="00871062" w:rsidRPr="00CD1FD1">
        <w:rPr>
          <w:rFonts w:ascii="Museo Sans 300" w:hAnsi="Museo Sans 300"/>
          <w:sz w:val="22"/>
          <w:szCs w:val="22"/>
          <w:lang w:val="es-MX"/>
        </w:rPr>
        <w:t>.</w:t>
      </w:r>
    </w:p>
    <w:p w:rsidR="00F6695E" w:rsidRPr="00CD1FD1" w:rsidRDefault="00F6695E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A49A6" w:rsidRDefault="00A3430E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A3430E">
        <w:rPr>
          <w:noProof/>
        </w:rPr>
        <w:drawing>
          <wp:inline distT="0" distB="0" distL="0" distR="0" wp14:anchorId="4ADE7E42" wp14:editId="549E8BE8">
            <wp:extent cx="5971540" cy="4185142"/>
            <wp:effectExtent l="0" t="0" r="0" b="635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18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89" w:rsidRPr="00ED3D89" w:rsidRDefault="00897D3C" w:rsidP="00ED3D89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  <w:r w:rsidRPr="00ED3D89">
        <w:rPr>
          <w:rFonts w:ascii="Museo Sans 300" w:hAnsi="Museo Sans 300"/>
          <w:b/>
          <w:sz w:val="16"/>
          <w:szCs w:val="16"/>
          <w:lang w:val="es-MX"/>
        </w:rPr>
        <w:t xml:space="preserve">Fuente: </w:t>
      </w:r>
      <w:r w:rsidR="00ED3D89" w:rsidRPr="00ED3D89">
        <w:rPr>
          <w:rFonts w:ascii="Museo Sans 300" w:hAnsi="Museo Sans 300"/>
          <w:b/>
          <w:sz w:val="16"/>
          <w:szCs w:val="16"/>
          <w:lang w:val="es-MX"/>
        </w:rPr>
        <w:t>Ministerio de Hacienda</w:t>
      </w:r>
      <w:bookmarkStart w:id="23" w:name="_Toc509301814"/>
      <w:bookmarkStart w:id="24" w:name="_Toc308681664"/>
      <w:bookmarkStart w:id="25" w:name="_Toc319049210"/>
      <w:bookmarkStart w:id="26" w:name="_Toc411843462"/>
    </w:p>
    <w:p w:rsidR="00724FE8" w:rsidRDefault="00724FE8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:rsidR="00773139" w:rsidRPr="00AB023C" w:rsidRDefault="00773139" w:rsidP="00ED3D89">
      <w:pPr>
        <w:rPr>
          <w:rFonts w:ascii="Museo Sans 300" w:hAnsi="Museo Sans 300"/>
          <w:b/>
          <w:sz w:val="22"/>
          <w:szCs w:val="22"/>
          <w:lang w:val="es-MX"/>
        </w:rPr>
      </w:pPr>
      <w:r w:rsidRPr="00AB023C">
        <w:rPr>
          <w:rFonts w:ascii="Museo Sans 300" w:hAnsi="Museo Sans 300"/>
          <w:b/>
          <w:sz w:val="22"/>
          <w:szCs w:val="22"/>
          <w:lang w:val="es-MX"/>
        </w:rPr>
        <w:t xml:space="preserve">Recaudación </w:t>
      </w:r>
      <w:r w:rsidR="00C60002">
        <w:rPr>
          <w:rFonts w:ascii="Museo Sans 300" w:hAnsi="Museo Sans 300"/>
          <w:b/>
          <w:sz w:val="22"/>
          <w:szCs w:val="22"/>
          <w:lang w:val="es-MX"/>
        </w:rPr>
        <w:t>de ingresos corrientes</w:t>
      </w:r>
      <w:r w:rsidR="00736F88">
        <w:rPr>
          <w:rFonts w:ascii="Museo Sans 300" w:hAnsi="Museo Sans 300"/>
          <w:b/>
          <w:sz w:val="22"/>
          <w:szCs w:val="22"/>
          <w:lang w:val="es-MX"/>
        </w:rPr>
        <w:t xml:space="preserve"> del Gobierno Central,</w:t>
      </w:r>
      <w:r w:rsidR="00C60002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BD2BF4" w:rsidRPr="00AB023C">
        <w:rPr>
          <w:rFonts w:ascii="Museo Sans 300" w:hAnsi="Museo Sans 300"/>
          <w:b/>
          <w:sz w:val="22"/>
          <w:szCs w:val="22"/>
          <w:lang w:val="es-MX"/>
        </w:rPr>
        <w:t xml:space="preserve">incluyendo </w:t>
      </w:r>
      <w:r w:rsidR="00E43465">
        <w:rPr>
          <w:rFonts w:ascii="Museo Sans 300" w:hAnsi="Museo Sans 300"/>
          <w:b/>
          <w:sz w:val="22"/>
          <w:szCs w:val="22"/>
          <w:lang w:val="es-MX"/>
        </w:rPr>
        <w:t>C</w:t>
      </w:r>
      <w:r w:rsidR="00BD2BF4" w:rsidRPr="00AB023C">
        <w:rPr>
          <w:rFonts w:ascii="Museo Sans 300" w:hAnsi="Museo Sans 300"/>
          <w:b/>
          <w:sz w:val="22"/>
          <w:szCs w:val="22"/>
          <w:lang w:val="es-MX"/>
        </w:rPr>
        <w:t xml:space="preserve">ontribuciones </w:t>
      </w:r>
      <w:r w:rsidR="00926789">
        <w:rPr>
          <w:rFonts w:ascii="Museo Sans 300" w:hAnsi="Museo Sans 300"/>
          <w:b/>
          <w:sz w:val="22"/>
          <w:szCs w:val="22"/>
          <w:lang w:val="es-MX"/>
        </w:rPr>
        <w:t>E</w:t>
      </w:r>
      <w:r w:rsidR="00BD2BF4" w:rsidRPr="00AB023C">
        <w:rPr>
          <w:rFonts w:ascii="Museo Sans 300" w:hAnsi="Museo Sans 300"/>
          <w:b/>
          <w:sz w:val="22"/>
          <w:szCs w:val="22"/>
          <w:lang w:val="es-MX"/>
        </w:rPr>
        <w:t>speciales</w:t>
      </w:r>
      <w:r w:rsidRPr="00AB023C">
        <w:rPr>
          <w:rFonts w:ascii="Museo Sans 300" w:hAnsi="Museo Sans 300"/>
          <w:b/>
          <w:sz w:val="22"/>
          <w:szCs w:val="22"/>
          <w:lang w:val="es-MX"/>
        </w:rPr>
        <w:t>.</w:t>
      </w:r>
      <w:bookmarkEnd w:id="23"/>
    </w:p>
    <w:p w:rsidR="00773139" w:rsidRPr="00AB023C" w:rsidRDefault="00773139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3199D" w:rsidRPr="00AB023C" w:rsidRDefault="00773139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AB023C">
        <w:rPr>
          <w:rFonts w:ascii="Museo Sans 300" w:hAnsi="Museo Sans 300"/>
          <w:sz w:val="22"/>
          <w:szCs w:val="22"/>
          <w:lang w:val="es-MX"/>
        </w:rPr>
        <w:t xml:space="preserve">De acuerdo con las cifras de la DGT, la recaudación </w:t>
      </w:r>
      <w:r w:rsidR="006D0C79">
        <w:rPr>
          <w:rFonts w:ascii="Museo Sans 300" w:hAnsi="Museo Sans 300"/>
          <w:sz w:val="22"/>
          <w:szCs w:val="22"/>
          <w:lang w:val="es-MX"/>
        </w:rPr>
        <w:t xml:space="preserve">de ingresos corrientes </w:t>
      </w:r>
      <w:r w:rsidR="007B2A51">
        <w:rPr>
          <w:rFonts w:ascii="Museo Sans 300" w:hAnsi="Museo Sans 300"/>
          <w:sz w:val="22"/>
          <w:szCs w:val="22"/>
          <w:lang w:val="es-MX"/>
        </w:rPr>
        <w:t xml:space="preserve">del Gobierno Central </w:t>
      </w:r>
      <w:r w:rsidRPr="00AB023C">
        <w:rPr>
          <w:rFonts w:ascii="Museo Sans 300" w:hAnsi="Museo Sans 300"/>
          <w:sz w:val="22"/>
          <w:szCs w:val="22"/>
          <w:lang w:val="es-MX"/>
        </w:rPr>
        <w:t xml:space="preserve">al </w:t>
      </w:r>
      <w:r w:rsidR="006E1D43">
        <w:rPr>
          <w:rFonts w:ascii="Museo Sans 300" w:hAnsi="Museo Sans 300"/>
          <w:sz w:val="22"/>
          <w:szCs w:val="22"/>
          <w:lang w:val="es-MX"/>
        </w:rPr>
        <w:t>tercer</w:t>
      </w:r>
      <w:r w:rsidR="00C722FC" w:rsidRPr="00AB023C">
        <w:rPr>
          <w:rFonts w:ascii="Museo Sans 300" w:hAnsi="Museo Sans 300"/>
          <w:sz w:val="22"/>
          <w:szCs w:val="22"/>
          <w:lang w:val="es-MX"/>
        </w:rPr>
        <w:t xml:space="preserve"> trimestre</w:t>
      </w:r>
      <w:r w:rsidRPr="00AB023C">
        <w:rPr>
          <w:rFonts w:ascii="Museo Sans 300" w:hAnsi="Museo Sans 300"/>
          <w:sz w:val="22"/>
          <w:szCs w:val="22"/>
          <w:lang w:val="es-MX"/>
        </w:rPr>
        <w:t xml:space="preserve"> </w:t>
      </w:r>
      <w:r w:rsidR="00D551BE" w:rsidRPr="00AB023C">
        <w:rPr>
          <w:rFonts w:ascii="Museo Sans 300" w:hAnsi="Museo Sans 300"/>
          <w:sz w:val="22"/>
          <w:szCs w:val="22"/>
          <w:lang w:val="es-MX"/>
        </w:rPr>
        <w:t xml:space="preserve">del </w:t>
      </w:r>
      <w:r w:rsidR="007D5077" w:rsidRPr="00AB023C">
        <w:rPr>
          <w:rFonts w:ascii="Museo Sans 300" w:hAnsi="Museo Sans 300"/>
          <w:sz w:val="22"/>
          <w:szCs w:val="22"/>
          <w:lang w:val="es-MX"/>
        </w:rPr>
        <w:t>año</w:t>
      </w:r>
      <w:r w:rsidR="006854AC" w:rsidRPr="00AB023C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AB023C">
        <w:rPr>
          <w:rFonts w:ascii="Museo Sans 300" w:hAnsi="Museo Sans 300"/>
          <w:sz w:val="22"/>
          <w:szCs w:val="22"/>
          <w:lang w:val="es-MX"/>
        </w:rPr>
        <w:t>20</w:t>
      </w:r>
      <w:r w:rsidR="00D551BE" w:rsidRPr="00AB023C">
        <w:rPr>
          <w:rFonts w:ascii="Museo Sans 300" w:hAnsi="Museo Sans 300"/>
          <w:sz w:val="22"/>
          <w:szCs w:val="22"/>
          <w:lang w:val="es-MX"/>
        </w:rPr>
        <w:t>2</w:t>
      </w:r>
      <w:r w:rsidR="00E41D5E" w:rsidRPr="00AB023C">
        <w:rPr>
          <w:rFonts w:ascii="Museo Sans 300" w:hAnsi="Museo Sans 300"/>
          <w:sz w:val="22"/>
          <w:szCs w:val="22"/>
          <w:lang w:val="es-MX"/>
        </w:rPr>
        <w:t>2</w:t>
      </w:r>
      <w:r w:rsidR="00C82A86">
        <w:rPr>
          <w:rFonts w:ascii="Museo Sans 300" w:hAnsi="Museo Sans 300"/>
          <w:sz w:val="22"/>
          <w:szCs w:val="22"/>
          <w:lang w:val="es-MX"/>
        </w:rPr>
        <w:t>,</w:t>
      </w:r>
      <w:r w:rsidRPr="00AB023C">
        <w:rPr>
          <w:rFonts w:ascii="Museo Sans 300" w:hAnsi="Museo Sans 300"/>
          <w:sz w:val="22"/>
          <w:szCs w:val="22"/>
          <w:lang w:val="es-MX"/>
        </w:rPr>
        <w:t xml:space="preserve"> se muestra en la siguiente tabla.</w:t>
      </w:r>
    </w:p>
    <w:p w:rsidR="00E41D5E" w:rsidRPr="00AB023C" w:rsidRDefault="00E41D5E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724FE8" w:rsidRDefault="00724FE8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44457B" w:rsidRPr="00CD1FD1" w:rsidRDefault="00871062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  <w:r w:rsidRPr="00AB023C">
        <w:rPr>
          <w:rFonts w:ascii="Museo Sans 300" w:hAnsi="Museo Sans 300" w:cs="Arial"/>
          <w:b/>
          <w:sz w:val="22"/>
          <w:szCs w:val="22"/>
          <w:lang w:val="es-MX"/>
        </w:rPr>
        <w:t>Tab</w:t>
      </w:r>
      <w:r w:rsidR="0044457B" w:rsidRPr="00AB023C">
        <w:rPr>
          <w:rFonts w:ascii="Museo Sans 300" w:hAnsi="Museo Sans 300" w:cs="Arial"/>
          <w:b/>
          <w:sz w:val="22"/>
          <w:szCs w:val="22"/>
          <w:lang w:val="es-MX"/>
        </w:rPr>
        <w:t>la</w:t>
      </w:r>
      <w:r w:rsidRPr="00AB023C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AB023C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Pr="00AB023C">
        <w:rPr>
          <w:rFonts w:ascii="Museo Sans 300" w:hAnsi="Museo Sans 300" w:cs="Arial"/>
          <w:b/>
          <w:sz w:val="22"/>
          <w:szCs w:val="22"/>
          <w:lang w:val="es-MX"/>
        </w:rPr>
        <w:t>:</w:t>
      </w:r>
      <w:r w:rsidR="0044457B" w:rsidRPr="00AB023C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ED3D89" w:rsidRPr="00AB023C">
        <w:rPr>
          <w:rFonts w:ascii="Museo Sans 300" w:hAnsi="Museo Sans 300" w:cs="Arial"/>
          <w:b/>
          <w:sz w:val="22"/>
          <w:szCs w:val="22"/>
          <w:lang w:val="es-MX"/>
        </w:rPr>
        <w:t>I</w:t>
      </w:r>
      <w:r w:rsidR="00DF7DE2" w:rsidRPr="00AB023C">
        <w:rPr>
          <w:rFonts w:ascii="Museo Sans 300" w:hAnsi="Museo Sans 300" w:cs="Arial"/>
          <w:b/>
          <w:sz w:val="22"/>
          <w:szCs w:val="22"/>
          <w:lang w:val="es-MX"/>
        </w:rPr>
        <w:t>ngresos corrientes</w:t>
      </w:r>
      <w:r w:rsidR="00DF7DE2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613FF3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del Gobierno Central 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al </w:t>
      </w:r>
      <w:r w:rsidR="00E100C9">
        <w:rPr>
          <w:rFonts w:ascii="Museo Sans 300" w:hAnsi="Museo Sans 300" w:cs="Arial"/>
          <w:b/>
          <w:sz w:val="22"/>
          <w:szCs w:val="22"/>
          <w:lang w:val="es-MX"/>
        </w:rPr>
        <w:t>tercer</w:t>
      </w:r>
      <w:r w:rsidR="00C722FC">
        <w:rPr>
          <w:rFonts w:ascii="Museo Sans 300" w:hAnsi="Museo Sans 300" w:cs="Arial"/>
          <w:b/>
          <w:sz w:val="22"/>
          <w:szCs w:val="22"/>
          <w:lang w:val="es-MX"/>
        </w:rPr>
        <w:t xml:space="preserve"> trimestre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>de 202</w:t>
      </w:r>
      <w:r w:rsidR="00D249B2" w:rsidRPr="00CD1FD1">
        <w:rPr>
          <w:rFonts w:ascii="Museo Sans 300" w:hAnsi="Museo Sans 300" w:cs="Arial"/>
          <w:b/>
          <w:sz w:val="22"/>
          <w:szCs w:val="22"/>
          <w:lang w:val="es-MX"/>
        </w:rPr>
        <w:t>1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, vrs ejecutado </w:t>
      </w:r>
      <w:r w:rsidR="00581B7E" w:rsidRPr="00CD1FD1">
        <w:rPr>
          <w:rFonts w:ascii="Museo Sans 300" w:hAnsi="Museo Sans 300" w:cs="Arial"/>
          <w:b/>
          <w:sz w:val="22"/>
          <w:szCs w:val="22"/>
          <w:lang w:val="es-MX"/>
        </w:rPr>
        <w:t>202</w:t>
      </w:r>
      <w:r w:rsidR="00447D6A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>.</w:t>
      </w:r>
    </w:p>
    <w:p w:rsidR="0044457B" w:rsidRPr="00CD1FD1" w:rsidRDefault="0044457B" w:rsidP="0044457B">
      <w:pPr>
        <w:jc w:val="center"/>
        <w:rPr>
          <w:rFonts w:ascii="Museo Sans 300" w:hAnsi="Museo Sans 300" w:cs="Arial"/>
          <w:b/>
          <w:bCs/>
          <w:sz w:val="22"/>
          <w:szCs w:val="22"/>
          <w:lang w:val="es-SV" w:eastAsia="es-SV"/>
        </w:rPr>
      </w:pPr>
      <w:r w:rsidRPr="00CD1FD1">
        <w:rPr>
          <w:rFonts w:ascii="Museo Sans 300" w:hAnsi="Museo Sans 300" w:cs="Arial"/>
          <w:b/>
          <w:bCs/>
          <w:sz w:val="22"/>
          <w:szCs w:val="22"/>
          <w:lang w:val="es-SV" w:eastAsia="es-SV"/>
        </w:rPr>
        <w:t>(Montos en Millones de US$)</w:t>
      </w:r>
    </w:p>
    <w:p w:rsidR="00231F0C" w:rsidRPr="00C437EE" w:rsidRDefault="00231F0C" w:rsidP="0044457B">
      <w:pPr>
        <w:jc w:val="center"/>
        <w:rPr>
          <w:rFonts w:ascii="Museo Sans 300" w:hAnsi="Museo Sans 300" w:cs="Arial"/>
          <w:b/>
          <w:bCs/>
          <w:color w:val="FF0000"/>
          <w:sz w:val="22"/>
          <w:szCs w:val="22"/>
          <w:lang w:val="es-SV" w:eastAsia="es-SV"/>
        </w:rPr>
      </w:pPr>
    </w:p>
    <w:p w:rsidR="0044457B" w:rsidRPr="005F6341" w:rsidRDefault="005F6341" w:rsidP="0000636C">
      <w:pPr>
        <w:jc w:val="center"/>
        <w:rPr>
          <w:rFonts w:ascii="Museo Sans 300" w:hAnsi="Museo Sans 300"/>
          <w:sz w:val="22"/>
          <w:szCs w:val="22"/>
          <w:lang w:val="es-SV"/>
        </w:rPr>
      </w:pPr>
      <w:r w:rsidRPr="005F6341">
        <w:rPr>
          <w:noProof/>
        </w:rPr>
        <w:drawing>
          <wp:inline distT="0" distB="0" distL="0" distR="0" wp14:anchorId="2F424C69" wp14:editId="03FB8EEF">
            <wp:extent cx="5669304" cy="5654749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25" cy="56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9B" w:rsidRPr="00CD1FD1" w:rsidRDefault="00DE2D9B" w:rsidP="0000636C">
      <w:pPr>
        <w:jc w:val="center"/>
        <w:rPr>
          <w:rFonts w:ascii="Museo Sans 300" w:hAnsi="Museo Sans 300"/>
          <w:sz w:val="22"/>
          <w:szCs w:val="22"/>
          <w:lang w:val="es-SV"/>
        </w:rPr>
      </w:pPr>
    </w:p>
    <w:p w:rsidR="00BE54F5" w:rsidRPr="00CD1FD1" w:rsidRDefault="009B117C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bookmarkStart w:id="27" w:name="_Toc56581207"/>
      <w:bookmarkStart w:id="28" w:name="_Toc116389134"/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1.2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Ingresos no </w:t>
      </w:r>
      <w:r w:rsidR="006007E8" w:rsidRPr="00CD1FD1">
        <w:rPr>
          <w:rFonts w:ascii="Museo Sans 300" w:hAnsi="Museo Sans 300"/>
          <w:b/>
          <w:sz w:val="22"/>
          <w:szCs w:val="22"/>
          <w:lang w:val="es-MX"/>
        </w:rPr>
        <w:t>T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ributarios</w:t>
      </w:r>
      <w:bookmarkEnd w:id="24"/>
      <w:bookmarkEnd w:id="25"/>
      <w:bookmarkEnd w:id="26"/>
      <w:bookmarkEnd w:id="27"/>
      <w:bookmarkEnd w:id="28"/>
    </w:p>
    <w:p w:rsidR="00BE54F5" w:rsidRPr="00926789" w:rsidRDefault="00BE54F5" w:rsidP="004A685A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:rsidR="00212C48" w:rsidRDefault="00212C48" w:rsidP="00BE1098">
      <w:pPr>
        <w:tabs>
          <w:tab w:val="left" w:pos="0"/>
          <w:tab w:val="left" w:pos="9214"/>
        </w:tabs>
        <w:autoSpaceDE w:val="0"/>
        <w:autoSpaceDN w:val="0"/>
        <w:adjustRightInd w:val="0"/>
        <w:spacing w:after="140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12C48">
        <w:rPr>
          <w:rFonts w:ascii="Museo Sans 300" w:hAnsi="Museo Sans 300"/>
          <w:sz w:val="22"/>
          <w:szCs w:val="22"/>
          <w:lang w:val="es-MX"/>
        </w:rPr>
        <w:t>Los ingresos no tributarios a nivel de SPNF registraron un monto de $</w:t>
      </w:r>
      <w:r w:rsidR="00D075C4">
        <w:rPr>
          <w:rFonts w:ascii="Museo Sans 300" w:hAnsi="Museo Sans 300"/>
          <w:sz w:val="22"/>
          <w:szCs w:val="22"/>
          <w:lang w:val="es-MX"/>
        </w:rPr>
        <w:t>766.2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millones, incrementándose en $</w:t>
      </w:r>
      <w:r w:rsidR="00D075C4">
        <w:rPr>
          <w:rFonts w:ascii="Museo Sans 300" w:hAnsi="Museo Sans 300"/>
          <w:sz w:val="22"/>
          <w:szCs w:val="22"/>
          <w:lang w:val="es-MX"/>
        </w:rPr>
        <w:t>73.0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millones en relación al mes de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2021, resultado </w:t>
      </w:r>
      <w:r w:rsidR="000941DF">
        <w:rPr>
          <w:rFonts w:ascii="Museo Sans 300" w:hAnsi="Museo Sans 300"/>
          <w:sz w:val="22"/>
          <w:szCs w:val="22"/>
          <w:lang w:val="es-MX"/>
        </w:rPr>
        <w:t xml:space="preserve">básicamente </w:t>
      </w:r>
      <w:r w:rsidRPr="00212C48">
        <w:rPr>
          <w:rFonts w:ascii="Museo Sans 300" w:hAnsi="Museo Sans 300"/>
          <w:sz w:val="22"/>
          <w:szCs w:val="22"/>
          <w:lang w:val="es-MX"/>
        </w:rPr>
        <w:t>de aumentos en el Resto de Gobierno General $</w:t>
      </w:r>
      <w:r w:rsidR="00B14265">
        <w:rPr>
          <w:rFonts w:ascii="Museo Sans 300" w:hAnsi="Museo Sans 300"/>
          <w:sz w:val="22"/>
          <w:szCs w:val="22"/>
          <w:lang w:val="es-MX"/>
        </w:rPr>
        <w:t>60.0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millones, producto de incremento en las contribuciones a la Seguridad Social</w:t>
      </w:r>
      <w:r>
        <w:rPr>
          <w:rFonts w:ascii="Museo Sans 300" w:hAnsi="Museo Sans 300"/>
          <w:sz w:val="22"/>
          <w:szCs w:val="22"/>
          <w:lang w:val="es-MX"/>
        </w:rPr>
        <w:t xml:space="preserve"> y</w:t>
      </w:r>
      <w:r w:rsidRPr="00D20546">
        <w:rPr>
          <w:rFonts w:ascii="Museo Sans 300" w:hAnsi="Museo Sans 300" w:cs="Arial"/>
          <w:i/>
          <w:iCs/>
          <w:sz w:val="22"/>
          <w:szCs w:val="22"/>
        </w:rPr>
        <w:t xml:space="preserve"> </w:t>
      </w:r>
      <w:r w:rsidRPr="00212C48">
        <w:rPr>
          <w:rFonts w:ascii="Museo Sans 300" w:hAnsi="Museo Sans 300" w:cs="Arial"/>
          <w:iCs/>
          <w:sz w:val="22"/>
          <w:szCs w:val="22"/>
          <w:lang w:val="es-419"/>
        </w:rPr>
        <w:t>las Empresas Públicas no Financieras reportan un incremento anual de $</w:t>
      </w:r>
      <w:r w:rsidR="000941DF">
        <w:rPr>
          <w:rFonts w:ascii="Museo Sans 300" w:hAnsi="Museo Sans 300" w:cs="Arial"/>
          <w:iCs/>
          <w:sz w:val="22"/>
          <w:szCs w:val="22"/>
          <w:lang w:val="es-419"/>
        </w:rPr>
        <w:t>17.5</w:t>
      </w:r>
      <w:r w:rsidRPr="00212C48">
        <w:rPr>
          <w:rFonts w:ascii="Museo Sans 300" w:hAnsi="Museo Sans 300" w:cs="Arial"/>
          <w:iCs/>
          <w:sz w:val="22"/>
          <w:szCs w:val="22"/>
          <w:lang w:val="es-419"/>
        </w:rPr>
        <w:t xml:space="preserve"> millones.</w:t>
      </w:r>
    </w:p>
    <w:p w:rsidR="007C64D7" w:rsidRPr="00212C48" w:rsidRDefault="007C64D7" w:rsidP="00BE1098">
      <w:pPr>
        <w:tabs>
          <w:tab w:val="left" w:pos="0"/>
          <w:tab w:val="left" w:pos="9214"/>
        </w:tabs>
        <w:autoSpaceDE w:val="0"/>
        <w:autoSpaceDN w:val="0"/>
        <w:adjustRightInd w:val="0"/>
        <w:spacing w:after="140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bookmarkEnd w:id="19"/>
    <w:bookmarkEnd w:id="20"/>
    <w:bookmarkEnd w:id="21"/>
    <w:p w:rsidR="00BE54F5" w:rsidRPr="00CD1FD1" w:rsidRDefault="00442DE5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 </w:t>
      </w:r>
      <w:bookmarkStart w:id="29" w:name="_Toc56581208"/>
      <w:bookmarkStart w:id="30" w:name="_Toc116389135"/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1.3 </w:t>
      </w:r>
      <w:r w:rsidR="0033442F" w:rsidRPr="00CD1FD1">
        <w:rPr>
          <w:rFonts w:ascii="Museo Sans 300" w:hAnsi="Museo Sans 300"/>
          <w:b/>
          <w:sz w:val="22"/>
          <w:szCs w:val="22"/>
          <w:lang w:val="es-MX"/>
        </w:rPr>
        <w:t>Superávit de l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as Empresas Públicas </w:t>
      </w:r>
      <w:r w:rsidR="00F71F6D" w:rsidRPr="00CD1FD1">
        <w:rPr>
          <w:rFonts w:ascii="Museo Sans 300" w:hAnsi="Museo Sans 300"/>
          <w:b/>
          <w:sz w:val="22"/>
          <w:szCs w:val="22"/>
          <w:lang w:val="es-MX"/>
        </w:rPr>
        <w:t>N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o Financieras</w:t>
      </w:r>
      <w:bookmarkEnd w:id="29"/>
      <w:bookmarkEnd w:id="30"/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:rsidR="00BE54F5" w:rsidRPr="00CD1FD1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12C48" w:rsidRPr="00212C48" w:rsidRDefault="00212C48" w:rsidP="00212C48">
      <w:pPr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  <w:bookmarkStart w:id="31" w:name="_Toc308681665"/>
      <w:bookmarkStart w:id="32" w:name="_Toc319049211"/>
      <w:bookmarkStart w:id="33" w:name="_Toc411843463"/>
      <w:r w:rsidRPr="00212C48">
        <w:rPr>
          <w:rFonts w:ascii="Museo Sans 300" w:hAnsi="Museo Sans 300"/>
          <w:sz w:val="22"/>
          <w:szCs w:val="22"/>
          <w:lang w:val="es-MX"/>
        </w:rPr>
        <w:t xml:space="preserve">Por otra </w:t>
      </w:r>
      <w:r w:rsidR="00FA06EA" w:rsidRPr="00212C48">
        <w:rPr>
          <w:rFonts w:ascii="Museo Sans 300" w:hAnsi="Museo Sans 300"/>
          <w:sz w:val="22"/>
          <w:szCs w:val="22"/>
          <w:lang w:val="es-MX"/>
        </w:rPr>
        <w:t>parte,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las Empresas Públicas No Financieras registran un </w:t>
      </w:r>
      <w:r w:rsidR="00DE2D9B">
        <w:rPr>
          <w:rFonts w:ascii="Museo Sans 300" w:hAnsi="Museo Sans 300"/>
          <w:sz w:val="22"/>
          <w:szCs w:val="22"/>
          <w:lang w:val="es-MX"/>
        </w:rPr>
        <w:t>S</w:t>
      </w:r>
      <w:r w:rsidR="00FA06EA" w:rsidRPr="00212C48">
        <w:rPr>
          <w:rFonts w:ascii="Museo Sans 300" w:hAnsi="Museo Sans 300"/>
          <w:sz w:val="22"/>
          <w:szCs w:val="22"/>
          <w:lang w:val="es-MX"/>
        </w:rPr>
        <w:t>uperávit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de </w:t>
      </w:r>
      <w:r w:rsidR="00DE2D9B">
        <w:rPr>
          <w:rFonts w:ascii="Museo Sans 300" w:hAnsi="Museo Sans 300"/>
          <w:sz w:val="22"/>
          <w:szCs w:val="22"/>
          <w:lang w:val="es-MX"/>
        </w:rPr>
        <w:t>O</w:t>
      </w:r>
      <w:r w:rsidRPr="00212C48">
        <w:rPr>
          <w:rFonts w:ascii="Museo Sans 300" w:hAnsi="Museo Sans 300"/>
          <w:sz w:val="22"/>
          <w:szCs w:val="22"/>
          <w:lang w:val="es-MX"/>
        </w:rPr>
        <w:t>peración de $</w:t>
      </w:r>
      <w:r w:rsidR="00D075C4">
        <w:rPr>
          <w:rFonts w:ascii="Museo Sans 300" w:hAnsi="Museo Sans 300"/>
          <w:sz w:val="22"/>
          <w:szCs w:val="22"/>
          <w:lang w:val="es-MX"/>
        </w:rPr>
        <w:t>132.5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millones, experimentando un incremento con respecto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2021 de $</w:t>
      </w:r>
      <w:r w:rsidR="00D075C4">
        <w:rPr>
          <w:rFonts w:ascii="Museo Sans 300" w:hAnsi="Museo Sans 300"/>
          <w:sz w:val="22"/>
          <w:szCs w:val="22"/>
          <w:lang w:val="es-MX"/>
        </w:rPr>
        <w:t>21.8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millones, el resultado proviene de una reducción mayor de los gastos de operación con respecto al incremento mostrado en los Ingresos de operación</w:t>
      </w:r>
      <w:r w:rsidR="00DE2D9B">
        <w:rPr>
          <w:rFonts w:ascii="Museo Sans 300" w:hAnsi="Museo Sans 300"/>
          <w:sz w:val="22"/>
          <w:szCs w:val="22"/>
          <w:lang w:val="es-MX"/>
        </w:rPr>
        <w:t>. De manera específica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, este comportamiento se refleja </w:t>
      </w:r>
      <w:r w:rsidRPr="00114394">
        <w:rPr>
          <w:rFonts w:ascii="Museo Sans 300" w:hAnsi="Museo Sans 300"/>
          <w:sz w:val="22"/>
          <w:szCs w:val="22"/>
          <w:lang w:val="es-MX"/>
        </w:rPr>
        <w:t>principalmente en ANDA,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 donde se observa un descenso importante en sus gastos de operación</w:t>
      </w:r>
      <w:r w:rsidR="00DE2D9B">
        <w:rPr>
          <w:rFonts w:ascii="Museo Sans 300" w:hAnsi="Museo Sans 300"/>
          <w:sz w:val="22"/>
          <w:szCs w:val="22"/>
          <w:lang w:val="es-MX"/>
        </w:rPr>
        <w:t xml:space="preserve"> por un valor de $23.3 millones</w:t>
      </w:r>
      <w:r w:rsidRPr="00212C48">
        <w:rPr>
          <w:rFonts w:ascii="Museo Sans 300" w:hAnsi="Museo Sans 300"/>
          <w:sz w:val="22"/>
          <w:szCs w:val="22"/>
          <w:lang w:val="es-MX"/>
        </w:rPr>
        <w:t xml:space="preserve">. </w:t>
      </w:r>
    </w:p>
    <w:p w:rsidR="00212C48" w:rsidRPr="00926789" w:rsidRDefault="00212C48" w:rsidP="00533421">
      <w:pPr>
        <w:ind w:right="-32"/>
        <w:jc w:val="both"/>
        <w:rPr>
          <w:rFonts w:ascii="Museo Sans 300" w:hAnsi="Museo Sans 300" w:cs="Arial"/>
          <w:noProof/>
          <w:sz w:val="16"/>
          <w:szCs w:val="16"/>
        </w:rPr>
      </w:pPr>
    </w:p>
    <w:p w:rsidR="00BE54F5" w:rsidRPr="00CD1FD1" w:rsidRDefault="00BF745F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bookmarkStart w:id="34" w:name="_Toc56581209"/>
      <w:bookmarkStart w:id="35" w:name="_Toc116389136"/>
      <w:r w:rsidRPr="00CD1FD1">
        <w:rPr>
          <w:rFonts w:ascii="Museo Sans 300" w:hAnsi="Museo Sans 300"/>
          <w:b/>
          <w:sz w:val="22"/>
          <w:szCs w:val="22"/>
          <w:lang w:val="es-MX"/>
        </w:rPr>
        <w:t>1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.4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Donaciones</w:t>
      </w:r>
      <w:bookmarkEnd w:id="31"/>
      <w:bookmarkEnd w:id="32"/>
      <w:bookmarkEnd w:id="33"/>
      <w:bookmarkEnd w:id="34"/>
      <w:bookmarkEnd w:id="35"/>
    </w:p>
    <w:p w:rsidR="00BE54F5" w:rsidRPr="00CD1FD1" w:rsidRDefault="00BE54F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33051" w:rsidRPr="00CD1FD1" w:rsidRDefault="00233051" w:rsidP="00233051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  <w:bookmarkStart w:id="36" w:name="_Toc411843464"/>
      <w:bookmarkStart w:id="37" w:name="_Toc505951456"/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Finalmente, las donaciones registraron un total de </w:t>
      </w:r>
      <w:r w:rsidR="00290D10" w:rsidRPr="00CD1FD1">
        <w:rPr>
          <w:rFonts w:ascii="Museo Sans 300" w:hAnsi="Museo Sans 300" w:cs="Arial"/>
          <w:noProof/>
          <w:sz w:val="22"/>
          <w:szCs w:val="22"/>
          <w:lang w:val="es-SV"/>
        </w:rPr>
        <w:t>$</w:t>
      </w:r>
      <w:r w:rsidR="00D075C4">
        <w:rPr>
          <w:rFonts w:ascii="Museo Sans 300" w:hAnsi="Museo Sans 300" w:cs="Arial"/>
          <w:noProof/>
          <w:sz w:val="22"/>
          <w:szCs w:val="22"/>
          <w:lang w:val="es-SV"/>
        </w:rPr>
        <w:t>12.4</w:t>
      </w:r>
      <w:r w:rsidR="00290D10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millones, </w:t>
      </w:r>
      <w:r w:rsidR="00D075C4">
        <w:rPr>
          <w:rFonts w:ascii="Museo Sans 300" w:hAnsi="Museo Sans 300" w:cs="Arial"/>
          <w:noProof/>
          <w:sz w:val="22"/>
          <w:szCs w:val="22"/>
          <w:lang w:val="es-SV"/>
        </w:rPr>
        <w:t>disminuyeron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en $</w:t>
      </w:r>
      <w:r w:rsidR="00D075C4">
        <w:rPr>
          <w:rFonts w:ascii="Museo Sans 300" w:hAnsi="Museo Sans 300" w:cs="Arial"/>
          <w:noProof/>
          <w:sz w:val="22"/>
          <w:szCs w:val="22"/>
          <w:lang w:val="es-SV"/>
        </w:rPr>
        <w:t>3.7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 con respecto </w:t>
      </w:r>
      <w:r w:rsidR="00355D4B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a </w:t>
      </w:r>
      <w:r w:rsidR="006E1D43">
        <w:rPr>
          <w:rFonts w:ascii="Museo Sans 300" w:hAnsi="Museo Sans 300" w:cs="Arial"/>
          <w:noProof/>
          <w:sz w:val="22"/>
          <w:szCs w:val="22"/>
          <w:lang w:val="es-SV"/>
        </w:rPr>
        <w:t>septiembre</w:t>
      </w:r>
      <w:r w:rsidR="00355D4B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202</w:t>
      </w:r>
      <w:r w:rsidR="0041595F">
        <w:rPr>
          <w:rFonts w:ascii="Museo Sans 300" w:hAnsi="Museo Sans 300" w:cs="Arial"/>
          <w:noProof/>
          <w:sz w:val="22"/>
          <w:szCs w:val="22"/>
          <w:lang w:val="es-SV"/>
        </w:rPr>
        <w:t>1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.</w:t>
      </w:r>
    </w:p>
    <w:p w:rsidR="00233051" w:rsidRPr="00926789" w:rsidRDefault="00233051" w:rsidP="0011125B">
      <w:pPr>
        <w:ind w:right="-32"/>
        <w:jc w:val="both"/>
        <w:rPr>
          <w:rFonts w:ascii="Museo Sans 300" w:hAnsi="Museo Sans 300" w:cs="Arial"/>
          <w:noProof/>
          <w:sz w:val="16"/>
          <w:szCs w:val="16"/>
          <w:lang w:val="es-SV"/>
        </w:rPr>
      </w:pPr>
    </w:p>
    <w:p w:rsidR="00BE54F5" w:rsidRPr="00CD1FD1" w:rsidRDefault="00AA7D08" w:rsidP="00D834F7">
      <w:pPr>
        <w:pStyle w:val="Heading3"/>
        <w:rPr>
          <w:rFonts w:ascii="Museo Sans 300" w:hAnsi="Museo Sans 300"/>
          <w:sz w:val="22"/>
          <w:szCs w:val="22"/>
          <w:lang w:val="es-MX"/>
        </w:rPr>
      </w:pPr>
      <w:bookmarkStart w:id="38" w:name="_Toc56581210"/>
      <w:bookmarkStart w:id="39" w:name="_Toc116389137"/>
      <w:r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Gasto</w:t>
      </w:r>
      <w:r w:rsidR="007B1E8F" w:rsidRPr="00CD1FD1">
        <w:rPr>
          <w:rFonts w:ascii="Museo Sans 300" w:hAnsi="Museo Sans 300"/>
          <w:b/>
          <w:sz w:val="22"/>
          <w:szCs w:val="22"/>
          <w:lang w:val="es-MX"/>
        </w:rPr>
        <w:t>s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 del Sector Público No Financiero</w:t>
      </w:r>
      <w:bookmarkEnd w:id="36"/>
      <w:bookmarkEnd w:id="37"/>
      <w:bookmarkEnd w:id="38"/>
      <w:r w:rsidR="00B2286A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996C7C" w:rsidRPr="00CD1FD1">
        <w:rPr>
          <w:rFonts w:ascii="Museo Sans 300" w:hAnsi="Museo Sans 300"/>
          <w:sz w:val="22"/>
          <w:szCs w:val="22"/>
          <w:lang w:val="es-MX"/>
        </w:rPr>
        <w:t>(ver anexo 1</w:t>
      </w:r>
      <w:r w:rsidR="00404593" w:rsidRPr="00CD1FD1">
        <w:rPr>
          <w:rFonts w:ascii="Museo Sans 300" w:hAnsi="Museo Sans 300"/>
          <w:sz w:val="22"/>
          <w:szCs w:val="22"/>
          <w:lang w:val="es-MX"/>
        </w:rPr>
        <w:t xml:space="preserve"> y 2</w:t>
      </w:r>
      <w:r w:rsidR="00996C7C" w:rsidRPr="00CD1FD1">
        <w:rPr>
          <w:rFonts w:ascii="Museo Sans 300" w:hAnsi="Museo Sans 300"/>
          <w:sz w:val="22"/>
          <w:szCs w:val="22"/>
          <w:lang w:val="es-MX"/>
        </w:rPr>
        <w:t>)</w:t>
      </w:r>
      <w:bookmarkEnd w:id="39"/>
    </w:p>
    <w:p w:rsidR="00F87661" w:rsidRPr="00926789" w:rsidRDefault="00F87661" w:rsidP="00F87661">
      <w:pPr>
        <w:rPr>
          <w:rFonts w:ascii="Museo Sans 300" w:hAnsi="Museo Sans 300"/>
          <w:sz w:val="16"/>
          <w:szCs w:val="16"/>
          <w:lang w:val="es-MX"/>
        </w:rPr>
      </w:pPr>
    </w:p>
    <w:p w:rsidR="002B76EB" w:rsidRPr="002B76EB" w:rsidRDefault="002B76EB" w:rsidP="002B76EB">
      <w:pPr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La ejecución del gasto total del SPNF al mes de </w:t>
      </w:r>
      <w:r w:rsidR="006E1D43">
        <w:rPr>
          <w:rFonts w:ascii="Museo Sans 300" w:hAnsi="Museo Sans 300" w:cs="Arial"/>
          <w:iCs/>
          <w:sz w:val="22"/>
          <w:szCs w:val="22"/>
          <w:lang w:val="es-MX"/>
        </w:rPr>
        <w:t>septiembre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de 2022 ascendió a $</w:t>
      </w:r>
      <w:r w:rsidR="003C2167">
        <w:rPr>
          <w:rFonts w:ascii="Museo Sans 300" w:hAnsi="Museo Sans 300" w:cs="Arial"/>
          <w:iCs/>
          <w:sz w:val="22"/>
          <w:szCs w:val="22"/>
          <w:lang w:val="es-MX"/>
        </w:rPr>
        <w:t>6,</w:t>
      </w:r>
      <w:r w:rsidR="007062E5">
        <w:rPr>
          <w:rFonts w:ascii="Museo Sans 300" w:hAnsi="Museo Sans 300" w:cs="Arial"/>
          <w:iCs/>
          <w:sz w:val="22"/>
          <w:szCs w:val="22"/>
          <w:lang w:val="es-MX"/>
        </w:rPr>
        <w:t>0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32.6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millones, con un aumento de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81.8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anterior.</w:t>
      </w:r>
      <w:r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Los gastos totales representaron en términos del PIB 2022, un 1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9.0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%, disminuyendo en 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1.7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puntos porcentuales con respecto a 2021.</w:t>
      </w:r>
    </w:p>
    <w:p w:rsidR="00E171F3" w:rsidRPr="00926789" w:rsidRDefault="00E171F3" w:rsidP="009D513A">
      <w:pPr>
        <w:ind w:right="-32"/>
        <w:jc w:val="both"/>
        <w:rPr>
          <w:rFonts w:ascii="Museo Sans 300" w:hAnsi="Museo Sans 300" w:cs="Arial"/>
          <w:iCs/>
          <w:sz w:val="16"/>
          <w:szCs w:val="16"/>
          <w:lang w:val="es-MX"/>
        </w:rPr>
      </w:pPr>
    </w:p>
    <w:p w:rsidR="00A25034" w:rsidRDefault="00BE54F5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4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: Evolución del </w:t>
      </w:r>
      <w:r w:rsidR="00167CCD" w:rsidRPr="00CD1FD1">
        <w:rPr>
          <w:rFonts w:ascii="Museo Sans 300" w:hAnsi="Museo Sans 300"/>
          <w:sz w:val="22"/>
          <w:szCs w:val="22"/>
          <w:lang w:val="es-MX"/>
        </w:rPr>
        <w:t>G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167CCD" w:rsidRPr="00CD1FD1">
        <w:rPr>
          <w:rFonts w:ascii="Museo Sans 300" w:hAnsi="Museo Sans 300"/>
          <w:sz w:val="22"/>
          <w:szCs w:val="22"/>
          <w:lang w:val="es-MX"/>
        </w:rPr>
        <w:t>P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úblico </w:t>
      </w:r>
      <w:r w:rsidR="00167CCD" w:rsidRPr="00CD1FD1">
        <w:rPr>
          <w:rFonts w:ascii="Museo Sans 300" w:hAnsi="Museo Sans 300"/>
          <w:sz w:val="22"/>
          <w:szCs w:val="22"/>
          <w:lang w:val="es-MX"/>
        </w:rPr>
        <w:t>T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otal del SPNF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714B06" w:rsidRPr="00CD1FD1">
        <w:rPr>
          <w:rFonts w:ascii="Museo Sans 300" w:hAnsi="Museo Sans 300"/>
          <w:sz w:val="22"/>
          <w:szCs w:val="22"/>
          <w:lang w:val="es-MX"/>
        </w:rPr>
        <w:t>14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>-20</w:t>
      </w:r>
      <w:r w:rsidR="00714B06" w:rsidRPr="00CD1FD1">
        <w:rPr>
          <w:rFonts w:ascii="Museo Sans 300" w:hAnsi="Museo Sans 300"/>
          <w:sz w:val="22"/>
          <w:szCs w:val="22"/>
          <w:lang w:val="es-MX"/>
        </w:rPr>
        <w:t>2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BB3C83" w:rsidRPr="00DE2D9B" w:rsidRDefault="00BB3C83" w:rsidP="00A25034">
      <w:pPr>
        <w:jc w:val="center"/>
        <w:rPr>
          <w:rFonts w:ascii="Museo Sans 300" w:hAnsi="Museo Sans 300"/>
          <w:sz w:val="18"/>
          <w:szCs w:val="18"/>
          <w:lang w:val="es-MX"/>
        </w:rPr>
      </w:pPr>
    </w:p>
    <w:p w:rsidR="00DE2D9B" w:rsidRDefault="00DE2D9B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E1C63" w:rsidRDefault="00AB023C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AB023C">
        <w:rPr>
          <w:noProof/>
        </w:rPr>
        <w:drawing>
          <wp:inline distT="0" distB="0" distL="0" distR="0" wp14:anchorId="29B5EC95" wp14:editId="29192A7B">
            <wp:extent cx="5306740" cy="3192780"/>
            <wp:effectExtent l="0" t="0" r="825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29" cy="321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21" w:rsidRPr="00CD1FD1" w:rsidRDefault="00305721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A25034" w:rsidRPr="00ED3D89" w:rsidRDefault="00DE2D9B" w:rsidP="00DE2D9B">
      <w:pPr>
        <w:rPr>
          <w:rFonts w:ascii="Museo Sans 300" w:hAnsi="Museo Sans 300"/>
          <w:b/>
          <w:sz w:val="18"/>
          <w:szCs w:val="18"/>
          <w:lang w:val="es-MX"/>
        </w:rPr>
      </w:pPr>
      <w:r>
        <w:rPr>
          <w:rFonts w:ascii="Museo Sans 300" w:hAnsi="Museo Sans 300"/>
          <w:b/>
          <w:sz w:val="18"/>
          <w:szCs w:val="18"/>
          <w:lang w:val="es-MX"/>
        </w:rPr>
        <w:t xml:space="preserve">                            </w:t>
      </w:r>
      <w:r w:rsidR="00BC718B" w:rsidRPr="00ED3D89">
        <w:rPr>
          <w:rFonts w:ascii="Museo Sans 300" w:hAnsi="Museo Sans 300"/>
          <w:b/>
          <w:sz w:val="18"/>
          <w:szCs w:val="18"/>
          <w:lang w:val="es-MX"/>
        </w:rPr>
        <w:t>Fuente</w:t>
      </w:r>
      <w:r w:rsidR="00ED3D89" w:rsidRPr="00ED3D89">
        <w:rPr>
          <w:rFonts w:ascii="Museo Sans 300" w:hAnsi="Museo Sans 300"/>
          <w:b/>
          <w:sz w:val="18"/>
          <w:szCs w:val="18"/>
          <w:lang w:val="es-MX"/>
        </w:rPr>
        <w:t>: Ministerio de Hacienda</w:t>
      </w:r>
    </w:p>
    <w:p w:rsidR="00DE2D9B" w:rsidRDefault="00442DE5" w:rsidP="008733DC">
      <w:pPr>
        <w:pStyle w:val="Heading2"/>
        <w:rPr>
          <w:rFonts w:ascii="Museo Sans 300" w:hAnsi="Museo Sans 300"/>
          <w:sz w:val="22"/>
          <w:szCs w:val="22"/>
          <w:lang w:val="es-MX"/>
        </w:rPr>
      </w:pPr>
      <w:bookmarkStart w:id="40" w:name="_Toc411843465"/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bookmarkStart w:id="41" w:name="_Toc56581211"/>
      <w:bookmarkStart w:id="42" w:name="_Toc116389138"/>
    </w:p>
    <w:p w:rsidR="007C64D7" w:rsidRPr="007C64D7" w:rsidRDefault="007C64D7" w:rsidP="007C64D7">
      <w:pPr>
        <w:rPr>
          <w:lang w:val="es-MX"/>
        </w:rPr>
      </w:pPr>
    </w:p>
    <w:p w:rsidR="005F6341" w:rsidRDefault="005F6341" w:rsidP="005F6341">
      <w:pPr>
        <w:rPr>
          <w:lang w:val="es-MX"/>
        </w:rPr>
      </w:pPr>
    </w:p>
    <w:p w:rsidR="00B76E74" w:rsidRDefault="00B76E74" w:rsidP="005F6341">
      <w:pPr>
        <w:rPr>
          <w:lang w:val="es-MX"/>
        </w:rPr>
      </w:pPr>
    </w:p>
    <w:p w:rsidR="005F6341" w:rsidRPr="005F6341" w:rsidRDefault="005F6341" w:rsidP="005F6341">
      <w:pPr>
        <w:rPr>
          <w:lang w:val="es-MX"/>
        </w:rPr>
      </w:pPr>
    </w:p>
    <w:p w:rsidR="00BE54F5" w:rsidRPr="00CD1FD1" w:rsidRDefault="00AA7D08" w:rsidP="008733DC">
      <w:pPr>
        <w:pStyle w:val="Heading2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.1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Gastos corrientes</w:t>
      </w:r>
      <w:bookmarkEnd w:id="40"/>
      <w:bookmarkEnd w:id="41"/>
      <w:bookmarkEnd w:id="42"/>
    </w:p>
    <w:p w:rsidR="00BB5C3E" w:rsidRPr="007C64D7" w:rsidRDefault="00BB5C3E" w:rsidP="00BE54F5">
      <w:pPr>
        <w:jc w:val="both"/>
        <w:rPr>
          <w:rFonts w:ascii="Museo Sans 300" w:hAnsi="Museo Sans 300"/>
          <w:sz w:val="18"/>
          <w:szCs w:val="18"/>
          <w:lang w:val="es-MX"/>
        </w:rPr>
      </w:pPr>
    </w:p>
    <w:p w:rsidR="002B76EB" w:rsidRPr="002B76EB" w:rsidRDefault="002B76EB" w:rsidP="002B76EB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Los gastos corrientes del SPNF registraron un monto de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5,451.3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millones, mostrando un incremento de 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.8%. Como porcentaje del PIB el gasto corriente</w:t>
      </w:r>
      <w:r w:rsidR="00DE2D9B">
        <w:rPr>
          <w:rFonts w:ascii="Museo Sans 300" w:hAnsi="Museo Sans 300" w:cs="Arial"/>
          <w:iCs/>
          <w:sz w:val="22"/>
          <w:szCs w:val="22"/>
          <w:lang w:val="es-MX"/>
        </w:rPr>
        <w:t xml:space="preserve"> fue equivalente a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1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7.1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%, mostrando una reducción en 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.4 puntos porcentuales con respecto al año 2021</w:t>
      </w:r>
      <w:r w:rsidR="00DE2D9B">
        <w:rPr>
          <w:rFonts w:ascii="Museo Sans 300" w:hAnsi="Museo Sans 300" w:cs="Arial"/>
          <w:iCs/>
          <w:sz w:val="22"/>
          <w:szCs w:val="22"/>
          <w:lang w:val="es-MX"/>
        </w:rPr>
        <w:t>, como resultado de la disminución registrada en las tran</w:t>
      </w:r>
      <w:r w:rsidR="00203AB1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="00DE2D9B">
        <w:rPr>
          <w:rFonts w:ascii="Museo Sans 300" w:hAnsi="Museo Sans 300" w:cs="Arial"/>
          <w:iCs/>
          <w:sz w:val="22"/>
          <w:szCs w:val="22"/>
          <w:lang w:val="es-MX"/>
        </w:rPr>
        <w:t>ferencias cor</w:t>
      </w:r>
      <w:r w:rsidR="00203AB1">
        <w:rPr>
          <w:rFonts w:ascii="Museo Sans 300" w:hAnsi="Museo Sans 300" w:cs="Arial"/>
          <w:iCs/>
          <w:sz w:val="22"/>
          <w:szCs w:val="22"/>
          <w:lang w:val="es-MX"/>
        </w:rPr>
        <w:t>r</w:t>
      </w:r>
      <w:r w:rsidR="00DE2D9B">
        <w:rPr>
          <w:rFonts w:ascii="Museo Sans 300" w:hAnsi="Museo Sans 300" w:cs="Arial"/>
          <w:iCs/>
          <w:sz w:val="22"/>
          <w:szCs w:val="22"/>
          <w:lang w:val="es-MX"/>
        </w:rPr>
        <w:t>ientes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. </w:t>
      </w:r>
    </w:p>
    <w:p w:rsidR="002B76EB" w:rsidRPr="007C64D7" w:rsidRDefault="002B76EB" w:rsidP="002B76EB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2F0601" w:rsidRPr="002F0601" w:rsidRDefault="002B76EB" w:rsidP="002F0601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De forma detallada los gastos de consumo, ascendieron a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3,297.8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millones, con un incremento de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124.5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comparado al mes </w:t>
      </w:r>
      <w:r w:rsidR="006E1D43">
        <w:rPr>
          <w:rFonts w:ascii="Museo Sans 300" w:hAnsi="Museo Sans 300" w:cs="Arial"/>
          <w:iCs/>
          <w:sz w:val="22"/>
          <w:szCs w:val="22"/>
          <w:lang w:val="es-MX"/>
        </w:rPr>
        <w:t>septiembre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de 2021. </w:t>
      </w:r>
      <w:r w:rsidR="00C60002">
        <w:rPr>
          <w:rFonts w:ascii="Museo Sans 300" w:hAnsi="Museo Sans 300" w:cs="Arial"/>
          <w:iCs/>
          <w:sz w:val="22"/>
          <w:szCs w:val="22"/>
          <w:lang w:val="es-MX"/>
        </w:rPr>
        <w:t>E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l rubro de remuneraciones muestra un aumento de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21.5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anterior. Por su parte, el Rubro de Bienes y Servicios reportó un crecimiento de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103.1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millones, distribuido </w:t>
      </w:r>
      <w:r w:rsidR="007B2A51">
        <w:rPr>
          <w:rFonts w:ascii="Museo Sans 300" w:hAnsi="Museo Sans 300" w:cs="Arial"/>
          <w:iCs/>
          <w:sz w:val="22"/>
          <w:szCs w:val="22"/>
          <w:lang w:val="es-MX"/>
        </w:rPr>
        <w:t xml:space="preserve">básicamente 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en el Gobierno Central Consolidado con un incremento </w:t>
      </w:r>
      <w:r w:rsidRPr="0032502A">
        <w:rPr>
          <w:rFonts w:ascii="Museo Sans 300" w:hAnsi="Museo Sans 300" w:cs="Arial"/>
          <w:iCs/>
          <w:sz w:val="22"/>
          <w:szCs w:val="22"/>
          <w:lang w:val="es-MX"/>
        </w:rPr>
        <w:t>de $8</w:t>
      </w:r>
      <w:r w:rsidR="0032502A" w:rsidRPr="0032502A">
        <w:rPr>
          <w:rFonts w:ascii="Museo Sans 300" w:hAnsi="Museo Sans 300" w:cs="Arial"/>
          <w:iCs/>
          <w:sz w:val="22"/>
          <w:szCs w:val="22"/>
          <w:lang w:val="es-MX"/>
        </w:rPr>
        <w:t>7.5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="000B601E">
        <w:rPr>
          <w:rFonts w:ascii="Museo Sans 300" w:hAnsi="Museo Sans 300" w:cs="Arial"/>
          <w:iCs/>
          <w:sz w:val="22"/>
          <w:szCs w:val="22"/>
          <w:lang w:val="es-MX"/>
        </w:rPr>
        <w:t>,</w:t>
      </w:r>
      <w:r w:rsidR="0071217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0B601E" w:rsidRPr="002F0601">
        <w:rPr>
          <w:rFonts w:ascii="Museo Sans 300" w:hAnsi="Museo Sans 300" w:cs="Arial"/>
          <w:iCs/>
          <w:sz w:val="22"/>
          <w:szCs w:val="22"/>
          <w:lang w:val="es-MX"/>
        </w:rPr>
        <w:t>asociado</w:t>
      </w:r>
      <w:r w:rsidR="00712171" w:rsidRPr="002F0601">
        <w:rPr>
          <w:rFonts w:ascii="Museo Sans 300" w:hAnsi="Museo Sans 300" w:cs="Arial"/>
          <w:iCs/>
          <w:sz w:val="22"/>
          <w:szCs w:val="22"/>
          <w:lang w:val="es-MX"/>
        </w:rPr>
        <w:t xml:space="preserve"> principalmente a erogaciones </w:t>
      </w:r>
      <w:r w:rsidR="00203AB1">
        <w:rPr>
          <w:rFonts w:ascii="Museo Sans 300" w:hAnsi="Museo Sans 300" w:cs="Arial"/>
          <w:iCs/>
          <w:sz w:val="22"/>
          <w:szCs w:val="22"/>
          <w:lang w:val="es-MX"/>
        </w:rPr>
        <w:t xml:space="preserve">realizadas </w:t>
      </w:r>
      <w:r w:rsidR="002F0601" w:rsidRPr="002F0601">
        <w:rPr>
          <w:rFonts w:ascii="Museo Sans 300" w:hAnsi="Museo Sans 300" w:cs="Arial"/>
          <w:iCs/>
          <w:sz w:val="22"/>
          <w:szCs w:val="22"/>
          <w:lang w:val="es-MX"/>
        </w:rPr>
        <w:t xml:space="preserve">para combatir </w:t>
      </w:r>
      <w:r w:rsidR="0032502A">
        <w:rPr>
          <w:rFonts w:ascii="Museo Sans 300" w:hAnsi="Museo Sans 300" w:cs="Arial"/>
          <w:iCs/>
          <w:sz w:val="22"/>
          <w:szCs w:val="22"/>
          <w:lang w:val="es-MX"/>
        </w:rPr>
        <w:t>la delincuencia</w:t>
      </w:r>
      <w:r w:rsidR="00B76E74">
        <w:rPr>
          <w:rFonts w:ascii="Museo Sans 300" w:hAnsi="Museo Sans 300" w:cs="Arial"/>
          <w:iCs/>
          <w:sz w:val="22"/>
          <w:szCs w:val="22"/>
          <w:lang w:val="es-MX"/>
        </w:rPr>
        <w:t xml:space="preserve"> por parte del</w:t>
      </w:r>
      <w:r w:rsidR="0032502A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2F0601" w:rsidRPr="002F0601">
        <w:rPr>
          <w:rFonts w:ascii="Museo Sans 300" w:hAnsi="Museo Sans 300" w:cs="Arial"/>
          <w:iCs/>
          <w:sz w:val="22"/>
          <w:szCs w:val="22"/>
          <w:lang w:val="es-MX"/>
        </w:rPr>
        <w:t>Gabinete de Seguridad</w:t>
      </w:r>
      <w:r w:rsidR="001A43A7">
        <w:rPr>
          <w:rFonts w:ascii="Museo Sans 300" w:hAnsi="Museo Sans 300" w:cs="Arial"/>
          <w:iCs/>
          <w:sz w:val="22"/>
          <w:szCs w:val="22"/>
          <w:lang w:val="es-MX"/>
        </w:rPr>
        <w:t>.</w:t>
      </w:r>
    </w:p>
    <w:p w:rsidR="002B76EB" w:rsidRPr="007C64D7" w:rsidRDefault="002B76EB" w:rsidP="002B76EB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2B76EB" w:rsidRDefault="002B76EB" w:rsidP="002B76EB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2B76EB">
        <w:rPr>
          <w:rFonts w:ascii="Museo Sans 300" w:hAnsi="Museo Sans 300" w:cs="Arial"/>
          <w:iCs/>
          <w:sz w:val="22"/>
          <w:szCs w:val="22"/>
          <w:lang w:val="es-MX"/>
        </w:rPr>
        <w:t>Los intereses de la deuda ascendieron a un valor de $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1,179.7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millones, es decir un incremento de $ </w:t>
      </w:r>
      <w:r w:rsidR="00554E0F">
        <w:rPr>
          <w:rFonts w:ascii="Museo Sans 300" w:hAnsi="Museo Sans 300" w:cs="Arial"/>
          <w:iCs/>
          <w:sz w:val="22"/>
          <w:szCs w:val="22"/>
          <w:lang w:val="es-MX"/>
        </w:rPr>
        <w:t>122.3</w:t>
      </w:r>
      <w:r w:rsidRPr="002B76EB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anterior.</w:t>
      </w:r>
    </w:p>
    <w:p w:rsidR="00240E05" w:rsidRPr="00240E05" w:rsidRDefault="00240E05" w:rsidP="002B76EB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203AB1" w:rsidRDefault="002B76EB" w:rsidP="006059B0">
      <w:pPr>
        <w:pStyle w:val="NormalWeb"/>
        <w:shd w:val="clear" w:color="auto" w:fill="FFFFFF"/>
        <w:spacing w:before="0" w:beforeAutospacing="0" w:after="143" w:afterAutospacing="0"/>
        <w:jc w:val="both"/>
        <w:rPr>
          <w:rFonts w:ascii="Museo Sans 300" w:hAnsi="Museo Sans 300" w:cs="Arial"/>
          <w:iCs/>
          <w:sz w:val="22"/>
          <w:szCs w:val="22"/>
          <w:lang w:val="es-MX" w:eastAsia="es-ES"/>
        </w:rPr>
      </w:pPr>
      <w:r w:rsidRPr="002B76EB">
        <w:rPr>
          <w:rFonts w:ascii="Museo Sans 300" w:hAnsi="Museo Sans 300" w:cs="Arial"/>
          <w:iCs/>
          <w:sz w:val="22"/>
          <w:szCs w:val="22"/>
          <w:lang w:val="es-MX" w:eastAsia="es-ES"/>
        </w:rPr>
        <w:t>En cuanto a las transferencias corrientes, éstas ascendieron a $</w:t>
      </w:r>
      <w:r w:rsidR="00554E0F">
        <w:rPr>
          <w:rFonts w:ascii="Museo Sans 300" w:hAnsi="Museo Sans 300" w:cs="Arial"/>
          <w:iCs/>
          <w:sz w:val="22"/>
          <w:szCs w:val="22"/>
          <w:lang w:val="es-MX" w:eastAsia="es-ES"/>
        </w:rPr>
        <w:t>973.8</w:t>
      </w:r>
      <w:r w:rsidRPr="002B76EB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millones, </w:t>
      </w:r>
      <w:r w:rsidR="00554E0F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disminuyendo $100.9 millones </w:t>
      </w:r>
      <w:r w:rsidRPr="002B76EB">
        <w:rPr>
          <w:rFonts w:ascii="Museo Sans 300" w:hAnsi="Museo Sans 300" w:cs="Arial"/>
          <w:iCs/>
          <w:sz w:val="22"/>
          <w:szCs w:val="22"/>
          <w:lang w:val="es-MX" w:eastAsia="es-ES"/>
        </w:rPr>
        <w:t>con respecto al año anterior.</w:t>
      </w:r>
      <w:r w:rsidR="006059B0" w:rsidRPr="006059B0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Entre las transferencias que destacan podemos mencionar: el pago a Veteranos y ex combatientes $95.7 millones; subsidios $193.0 millones; transferencia al Instituto de Previsión de la Fuerza Armada (IPSFA) $63.5 millones, aporte al régimen de pensiones de INPEP e ISSS $113.6 millones, BANDESAL y FIREMPRESA suman $49.9 millones, paquetes escolares $34.9 millones, lisiados y desmovilizados $46.1, pensión minina $29.5 millones, entre otras.</w:t>
      </w:r>
    </w:p>
    <w:p w:rsidR="007732BA" w:rsidRPr="00CD1FD1" w:rsidRDefault="006059B0" w:rsidP="00240E05">
      <w:pPr>
        <w:pStyle w:val="NormalWeb"/>
        <w:shd w:val="clear" w:color="auto" w:fill="FFFFFF"/>
        <w:spacing w:before="0" w:beforeAutospacing="0" w:after="143" w:afterAutospacing="0"/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</w:t>
      </w:r>
      <w:r w:rsidR="001B1625"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5</w:t>
      </w:r>
      <w:r w:rsidR="001B1625" w:rsidRPr="00CD1FD1">
        <w:rPr>
          <w:rFonts w:ascii="Museo Sans 300" w:hAnsi="Museo Sans 300"/>
          <w:sz w:val="22"/>
          <w:szCs w:val="22"/>
          <w:lang w:val="es-MX"/>
        </w:rPr>
        <w:t xml:space="preserve">: Composición del gasto corriente del SPNF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1B1625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01373" w:rsidRPr="00CD1FD1">
        <w:rPr>
          <w:rFonts w:ascii="Museo Sans 300" w:hAnsi="Museo Sans 300"/>
          <w:sz w:val="22"/>
          <w:szCs w:val="22"/>
          <w:lang w:val="es-MX"/>
        </w:rPr>
        <w:t>201</w:t>
      </w:r>
      <w:r w:rsidR="00BE0A31">
        <w:rPr>
          <w:rFonts w:ascii="Museo Sans 300" w:hAnsi="Museo Sans 300"/>
          <w:sz w:val="22"/>
          <w:szCs w:val="22"/>
          <w:lang w:val="es-MX"/>
        </w:rPr>
        <w:t>4</w:t>
      </w:r>
      <w:r w:rsidR="001B1625" w:rsidRPr="00CD1FD1">
        <w:rPr>
          <w:rFonts w:ascii="Museo Sans 300" w:hAnsi="Museo Sans 300"/>
          <w:sz w:val="22"/>
          <w:szCs w:val="22"/>
          <w:lang w:val="es-MX"/>
        </w:rPr>
        <w:t xml:space="preserve"> -20</w:t>
      </w:r>
      <w:r w:rsidR="00072BB0" w:rsidRPr="00CD1FD1">
        <w:rPr>
          <w:rFonts w:ascii="Museo Sans 300" w:hAnsi="Museo Sans 300"/>
          <w:sz w:val="22"/>
          <w:szCs w:val="22"/>
          <w:lang w:val="es-MX"/>
        </w:rPr>
        <w:t>2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745752" w:rsidRPr="00CD1FD1" w:rsidRDefault="00745752" w:rsidP="00F5794C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B1625" w:rsidRPr="00CD1FD1" w:rsidRDefault="006E1D43" w:rsidP="007732BA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6E1D43">
        <w:rPr>
          <w:noProof/>
        </w:rPr>
        <w:drawing>
          <wp:inline distT="0" distB="0" distL="0" distR="0" wp14:anchorId="511BB363" wp14:editId="2EBDC857">
            <wp:extent cx="5248200" cy="3421587"/>
            <wp:effectExtent l="0" t="0" r="0" b="762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332" cy="342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43" w:rsidRDefault="006E1D43" w:rsidP="00844663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</w:p>
    <w:p w:rsidR="0098260F" w:rsidRPr="00CD1FD1" w:rsidRDefault="002C3C06" w:rsidP="00844663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CD1FD1">
        <w:rPr>
          <w:rFonts w:ascii="Museo Sans 300" w:hAnsi="Museo Sans 300" w:cs="Arial"/>
          <w:iCs/>
          <w:sz w:val="22"/>
          <w:szCs w:val="22"/>
          <w:lang w:val="es-SV"/>
        </w:rPr>
        <w:lastRenderedPageBreak/>
        <w:t>En la gr</w:t>
      </w:r>
      <w:r w:rsidR="00D61A43">
        <w:rPr>
          <w:rFonts w:ascii="Museo Sans 300" w:hAnsi="Museo Sans 300" w:cs="Arial"/>
          <w:iCs/>
          <w:sz w:val="22"/>
          <w:szCs w:val="22"/>
          <w:lang w:val="es-SV"/>
        </w:rPr>
        <w:t>á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fica </w:t>
      </w:r>
      <w:r w:rsidR="0032502A">
        <w:rPr>
          <w:rFonts w:ascii="Museo Sans 300" w:hAnsi="Museo Sans 300" w:cs="Arial"/>
          <w:iCs/>
          <w:sz w:val="22"/>
          <w:szCs w:val="22"/>
          <w:lang w:val="es-SV"/>
        </w:rPr>
        <w:t xml:space="preserve">6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se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present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la evolución de los subsidios </w:t>
      </w:r>
      <w:r w:rsidR="007E397A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durante el período </w:t>
      </w:r>
      <w:r w:rsidR="00036F93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6E1D43">
        <w:rPr>
          <w:rFonts w:ascii="Museo Sans 300" w:hAnsi="Museo Sans 300" w:cs="Arial"/>
          <w:iCs/>
          <w:sz w:val="22"/>
          <w:szCs w:val="22"/>
          <w:lang w:val="es-SV"/>
        </w:rPr>
        <w:t>septiembre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7E397A" w:rsidRPr="00CD1FD1">
        <w:rPr>
          <w:rFonts w:ascii="Museo Sans 300" w:hAnsi="Museo Sans 300" w:cs="Arial"/>
          <w:iCs/>
          <w:sz w:val="22"/>
          <w:szCs w:val="22"/>
          <w:lang w:val="es-SV"/>
        </w:rPr>
        <w:t>2014-</w:t>
      </w:r>
      <w:r w:rsidR="00844663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="007E397A" w:rsidRPr="00CD1FD1">
        <w:rPr>
          <w:rFonts w:ascii="Museo Sans 300" w:hAnsi="Museo Sans 300" w:cs="Arial"/>
          <w:iCs/>
          <w:sz w:val="22"/>
          <w:szCs w:val="22"/>
          <w:lang w:val="es-SV"/>
        </w:rPr>
        <w:t>02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, </w:t>
      </w:r>
      <w:r w:rsidR="00386BC0" w:rsidRPr="00CD1FD1">
        <w:rPr>
          <w:rFonts w:ascii="Museo Sans 300" w:hAnsi="Museo Sans 300" w:cs="Arial"/>
          <w:iCs/>
          <w:sz w:val="22"/>
          <w:szCs w:val="22"/>
          <w:lang w:val="es-SV"/>
        </w:rPr>
        <w:t>en donde se observa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una tendencia decreciente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al pasar de </w:t>
      </w:r>
      <w:r w:rsidR="00554E0F">
        <w:rPr>
          <w:rFonts w:ascii="Museo Sans 300" w:hAnsi="Museo Sans 300" w:cs="Arial"/>
          <w:iCs/>
          <w:sz w:val="22"/>
          <w:szCs w:val="22"/>
          <w:lang w:val="es-SV"/>
        </w:rPr>
        <w:t>1.1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% </w:t>
      </w:r>
      <w:r w:rsidR="005C4917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con respecto 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del PIB </w:t>
      </w:r>
      <w:r w:rsidR="00151722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en 2014 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>a 0.</w:t>
      </w:r>
      <w:r w:rsidR="00554E0F">
        <w:rPr>
          <w:rFonts w:ascii="Museo Sans 300" w:hAnsi="Museo Sans 300" w:cs="Arial"/>
          <w:iCs/>
          <w:sz w:val="22"/>
          <w:szCs w:val="22"/>
          <w:lang w:val="es-SV"/>
        </w:rPr>
        <w:t>7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% </w:t>
      </w:r>
      <w:r w:rsidR="00355D4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a </w:t>
      </w:r>
      <w:r w:rsidR="006E1D43">
        <w:rPr>
          <w:rFonts w:ascii="Museo Sans 300" w:hAnsi="Museo Sans 300" w:cs="Arial"/>
          <w:iCs/>
          <w:sz w:val="22"/>
          <w:szCs w:val="22"/>
          <w:lang w:val="es-SV"/>
        </w:rPr>
        <w:t>septiembre</w:t>
      </w:r>
      <w:r w:rsidR="00355D4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2022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>.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340B9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El total de 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>los subsidios ascienden a $</w:t>
      </w:r>
      <w:r w:rsidR="002B76EB">
        <w:rPr>
          <w:rFonts w:ascii="Museo Sans 300" w:hAnsi="Museo Sans 300" w:cs="Arial"/>
          <w:iCs/>
          <w:sz w:val="22"/>
          <w:szCs w:val="22"/>
          <w:lang w:val="es-SV"/>
        </w:rPr>
        <w:t>1</w:t>
      </w:r>
      <w:r w:rsidR="0032502A">
        <w:rPr>
          <w:rFonts w:ascii="Museo Sans 300" w:hAnsi="Museo Sans 300" w:cs="Arial"/>
          <w:iCs/>
          <w:sz w:val="22"/>
          <w:szCs w:val="22"/>
          <w:lang w:val="es-SV"/>
        </w:rPr>
        <w:t>93.1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millones, </w:t>
      </w:r>
      <w:r w:rsidR="00F00D19" w:rsidRPr="00CD1FD1">
        <w:rPr>
          <w:rFonts w:ascii="Museo Sans 300" w:hAnsi="Museo Sans 300" w:cs="Arial"/>
          <w:iCs/>
          <w:sz w:val="22"/>
          <w:szCs w:val="22"/>
          <w:lang w:val="es-SV"/>
        </w:rPr>
        <w:t>aumentando $</w:t>
      </w:r>
      <w:r w:rsidR="00AA7673">
        <w:rPr>
          <w:rFonts w:ascii="Museo Sans 300" w:hAnsi="Museo Sans 300" w:cs="Arial"/>
          <w:iCs/>
          <w:sz w:val="22"/>
          <w:szCs w:val="22"/>
          <w:lang w:val="es-SV"/>
        </w:rPr>
        <w:t>55.7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con respecto a </w:t>
      </w:r>
      <w:r w:rsidR="00581B7E" w:rsidRPr="00CD1FD1">
        <w:rPr>
          <w:rFonts w:ascii="Museo Sans 300" w:hAnsi="Museo Sans 300" w:cs="Arial"/>
          <w:iCs/>
          <w:sz w:val="22"/>
          <w:szCs w:val="22"/>
          <w:lang w:val="es-SV"/>
        </w:rPr>
        <w:t>2021</w:t>
      </w:r>
      <w:r w:rsidR="00203AB1">
        <w:rPr>
          <w:rFonts w:ascii="Museo Sans 300" w:hAnsi="Museo Sans 300" w:cs="Arial"/>
          <w:iCs/>
          <w:sz w:val="22"/>
          <w:szCs w:val="22"/>
          <w:lang w:val="es-SV"/>
        </w:rPr>
        <w:t>, básicamente por el incremento del subsidio al gas licuado</w:t>
      </w:r>
      <w:r w:rsidR="00F00D19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. </w:t>
      </w:r>
    </w:p>
    <w:p w:rsidR="003D01C6" w:rsidRPr="00197782" w:rsidRDefault="003D01C6" w:rsidP="00844663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:rsidR="009D780D" w:rsidRPr="00CD1FD1" w:rsidRDefault="009D780D" w:rsidP="00386BC0">
      <w:pPr>
        <w:jc w:val="center"/>
        <w:rPr>
          <w:rFonts w:ascii="Museo Sans 300" w:hAnsi="Museo Sans 300"/>
          <w:sz w:val="22"/>
          <w:szCs w:val="22"/>
          <w:highlight w:val="yellow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: Subsidios a servicios básicos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de 20</w:t>
      </w:r>
      <w:r w:rsidR="00151722" w:rsidRPr="00CD1FD1">
        <w:rPr>
          <w:rFonts w:ascii="Museo Sans 300" w:hAnsi="Museo Sans 300"/>
          <w:sz w:val="22"/>
          <w:szCs w:val="22"/>
          <w:lang w:val="es-MX"/>
        </w:rPr>
        <w:t>14</w:t>
      </w:r>
      <w:r w:rsidRPr="00CD1FD1">
        <w:rPr>
          <w:rFonts w:ascii="Museo Sans 300" w:hAnsi="Museo Sans 300"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202</w:t>
      </w:r>
      <w:r w:rsidR="003D01C6" w:rsidRPr="00CD1FD1">
        <w:rPr>
          <w:rFonts w:ascii="Museo Sans 300" w:hAnsi="Museo Sans 300"/>
          <w:sz w:val="22"/>
          <w:szCs w:val="22"/>
          <w:lang w:val="es-MX"/>
        </w:rPr>
        <w:t>2</w:t>
      </w:r>
      <w:r w:rsidR="008668D1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547C08" w:rsidRPr="00197782" w:rsidRDefault="00547C08" w:rsidP="00386BC0">
      <w:pPr>
        <w:jc w:val="center"/>
        <w:rPr>
          <w:rFonts w:ascii="Museo Sans 300" w:hAnsi="Museo Sans 300"/>
          <w:sz w:val="16"/>
          <w:szCs w:val="16"/>
          <w:lang w:val="es-MX"/>
        </w:rPr>
      </w:pPr>
    </w:p>
    <w:p w:rsidR="00AF3BC8" w:rsidRPr="00191565" w:rsidRDefault="006E1D43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6E1D43">
        <w:rPr>
          <w:noProof/>
        </w:rPr>
        <w:drawing>
          <wp:inline distT="0" distB="0" distL="0" distR="0" wp14:anchorId="41BB703F" wp14:editId="41B79DA3">
            <wp:extent cx="5025358" cy="3123076"/>
            <wp:effectExtent l="0" t="0" r="4445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58" cy="31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8" w:rsidRPr="00993516" w:rsidRDefault="00197782" w:rsidP="001902A4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  <w:r>
        <w:rPr>
          <w:rFonts w:ascii="Museo Sans 300" w:hAnsi="Museo Sans 300" w:cs="Arial"/>
          <w:iCs/>
          <w:sz w:val="16"/>
          <w:szCs w:val="16"/>
          <w:lang w:val="es-SV"/>
        </w:rPr>
        <w:t xml:space="preserve">              Fuente: DGT</w:t>
      </w:r>
    </w:p>
    <w:p w:rsidR="00C64A77" w:rsidRPr="00240E05" w:rsidRDefault="00C64A77" w:rsidP="001902A4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SV"/>
        </w:rPr>
      </w:pPr>
    </w:p>
    <w:p w:rsidR="00197782" w:rsidRPr="00C64A77" w:rsidRDefault="00C64A77" w:rsidP="001902A4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C64A77">
        <w:rPr>
          <w:rFonts w:ascii="Museo Sans 300" w:hAnsi="Museo Sans 300" w:cs="Arial"/>
          <w:iCs/>
          <w:sz w:val="22"/>
          <w:szCs w:val="22"/>
          <w:lang w:val="es-SV"/>
        </w:rPr>
        <w:t>En el siguiente cuadro se detalla la distribución de los subsidios, así: $</w:t>
      </w:r>
      <w:r w:rsidR="00554E0F">
        <w:rPr>
          <w:rFonts w:ascii="Museo Sans 300" w:hAnsi="Museo Sans 300" w:cs="Arial"/>
          <w:iCs/>
          <w:sz w:val="22"/>
          <w:szCs w:val="22"/>
          <w:lang w:val="es-SV"/>
        </w:rPr>
        <w:t>120.7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millones gas licuado; energía eléctrica $</w:t>
      </w:r>
      <w:r w:rsidR="009D4A96">
        <w:rPr>
          <w:rFonts w:ascii="Museo Sans 300" w:hAnsi="Museo Sans 300" w:cs="Arial"/>
          <w:iCs/>
          <w:sz w:val="22"/>
          <w:szCs w:val="22"/>
          <w:lang w:val="es-SV"/>
        </w:rPr>
        <w:t>26.3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millones y transporte</w:t>
      </w:r>
      <w:r w:rsidR="00771A84">
        <w:rPr>
          <w:rFonts w:ascii="Museo Sans 300" w:hAnsi="Museo Sans 300" w:cs="Arial"/>
          <w:iCs/>
          <w:sz w:val="22"/>
          <w:szCs w:val="22"/>
          <w:lang w:val="es-SV"/>
        </w:rPr>
        <w:t>,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$</w:t>
      </w:r>
      <w:r w:rsidR="009D4A96">
        <w:rPr>
          <w:rFonts w:ascii="Museo Sans 300" w:hAnsi="Museo Sans 300" w:cs="Arial"/>
          <w:iCs/>
          <w:sz w:val="22"/>
          <w:szCs w:val="22"/>
          <w:lang w:val="es-SV"/>
        </w:rPr>
        <w:t>46.1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millones. En lo que se refiere a las devoluciones de impuestos, éstas registran un monto de $</w:t>
      </w:r>
      <w:r w:rsidR="009D4A96">
        <w:rPr>
          <w:rFonts w:ascii="Museo Sans 300" w:hAnsi="Museo Sans 300" w:cs="Arial"/>
          <w:iCs/>
          <w:sz w:val="22"/>
          <w:szCs w:val="22"/>
          <w:lang w:val="es-SV"/>
        </w:rPr>
        <w:t>51.2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millones, de las que $1</w:t>
      </w:r>
      <w:r w:rsidR="009D4A96">
        <w:rPr>
          <w:rFonts w:ascii="Museo Sans 300" w:hAnsi="Museo Sans 300" w:cs="Arial"/>
          <w:iCs/>
          <w:sz w:val="22"/>
          <w:szCs w:val="22"/>
          <w:lang w:val="es-SV"/>
        </w:rPr>
        <w:t>8.7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corresponden a Devolución de IVA y $ </w:t>
      </w:r>
      <w:r w:rsidR="009D4A96">
        <w:rPr>
          <w:rFonts w:ascii="Museo Sans 300" w:hAnsi="Museo Sans 300" w:cs="Arial"/>
          <w:iCs/>
          <w:sz w:val="22"/>
          <w:szCs w:val="22"/>
          <w:lang w:val="es-SV"/>
        </w:rPr>
        <w:t>32.5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 devoluciones de </w:t>
      </w:r>
      <w:r w:rsidR="00926789">
        <w:rPr>
          <w:rFonts w:ascii="Museo Sans 300" w:hAnsi="Museo Sans 300" w:cs="Arial"/>
          <w:iCs/>
          <w:sz w:val="22"/>
          <w:szCs w:val="22"/>
          <w:lang w:val="es-SV"/>
        </w:rPr>
        <w:t>I</w:t>
      </w:r>
      <w:r w:rsidR="00036F93">
        <w:rPr>
          <w:rFonts w:ascii="Museo Sans 300" w:hAnsi="Museo Sans 300" w:cs="Arial"/>
          <w:iCs/>
          <w:sz w:val="22"/>
          <w:szCs w:val="22"/>
          <w:lang w:val="es-SV"/>
        </w:rPr>
        <w:t>mpuesto sobre la R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>enta. El total de devoluciones fue mayor en $</w:t>
      </w:r>
      <w:r w:rsidR="009D4A96">
        <w:rPr>
          <w:rFonts w:ascii="Museo Sans 300" w:hAnsi="Museo Sans 300" w:cs="Arial"/>
          <w:iCs/>
          <w:sz w:val="22"/>
          <w:szCs w:val="22"/>
          <w:lang w:val="es-SV"/>
        </w:rPr>
        <w:t xml:space="preserve">3.3 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 xml:space="preserve">millones a las registradas </w:t>
      </w:r>
      <w:r w:rsidR="00036F93">
        <w:rPr>
          <w:rFonts w:ascii="Museo Sans 300" w:hAnsi="Museo Sans 300" w:cs="Arial"/>
          <w:iCs/>
          <w:sz w:val="22"/>
          <w:szCs w:val="22"/>
          <w:lang w:val="es-SV"/>
        </w:rPr>
        <w:t xml:space="preserve">al mismo período del </w:t>
      </w:r>
      <w:r w:rsidRPr="00C64A77">
        <w:rPr>
          <w:rFonts w:ascii="Museo Sans 300" w:hAnsi="Museo Sans 300" w:cs="Arial"/>
          <w:iCs/>
          <w:sz w:val="22"/>
          <w:szCs w:val="22"/>
          <w:lang w:val="es-SV"/>
        </w:rPr>
        <w:t>año anterior.</w:t>
      </w:r>
    </w:p>
    <w:p w:rsidR="00080BF7" w:rsidRPr="00993516" w:rsidRDefault="00080BF7" w:rsidP="001902A4">
      <w:pPr>
        <w:rPr>
          <w:rFonts w:ascii="Museo Sans 300" w:hAnsi="Museo Sans 300"/>
          <w:b/>
          <w:sz w:val="16"/>
          <w:szCs w:val="16"/>
          <w:lang w:val="es-SV"/>
        </w:rPr>
      </w:pPr>
    </w:p>
    <w:p w:rsidR="00E75292" w:rsidRPr="00CD1FD1" w:rsidRDefault="007322EB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T</w:t>
      </w:r>
      <w:r w:rsidR="004F29B4" w:rsidRPr="00CD1FD1">
        <w:rPr>
          <w:rFonts w:ascii="Museo Sans 300" w:hAnsi="Museo Sans 300"/>
          <w:b/>
          <w:sz w:val="22"/>
          <w:szCs w:val="22"/>
          <w:lang w:val="es-MX"/>
        </w:rPr>
        <w:t xml:space="preserve">abla No. </w:t>
      </w:r>
      <w:r w:rsidR="006B57E8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F14F4B" w:rsidRPr="00CD1FD1">
        <w:rPr>
          <w:rFonts w:ascii="Museo Sans 300" w:hAnsi="Museo Sans 300"/>
          <w:b/>
          <w:sz w:val="22"/>
          <w:szCs w:val="22"/>
          <w:lang w:val="es-MX"/>
        </w:rPr>
        <w:t xml:space="preserve">: 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Subsidios y Devoluciones de </w:t>
      </w:r>
      <w:r w:rsidR="00546F81" w:rsidRPr="00CD1FD1">
        <w:rPr>
          <w:rFonts w:ascii="Museo Sans 300" w:hAnsi="Museo Sans 300"/>
          <w:b/>
          <w:sz w:val="22"/>
          <w:szCs w:val="22"/>
          <w:lang w:val="es-MX"/>
        </w:rPr>
        <w:t>Impuestos a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6E1D43">
        <w:rPr>
          <w:rFonts w:ascii="Museo Sans 300" w:hAnsi="Museo Sans 300"/>
          <w:b/>
          <w:sz w:val="22"/>
          <w:szCs w:val="22"/>
          <w:lang w:val="es-MX"/>
        </w:rPr>
        <w:t>septiembre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 de 20</w:t>
      </w:r>
      <w:r w:rsidR="00072BB0" w:rsidRPr="00CD1FD1">
        <w:rPr>
          <w:rFonts w:ascii="Museo Sans 300" w:hAnsi="Museo Sans 300"/>
          <w:b/>
          <w:sz w:val="22"/>
          <w:szCs w:val="22"/>
          <w:lang w:val="es-MX"/>
        </w:rPr>
        <w:t>14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 -20</w:t>
      </w:r>
      <w:r w:rsidR="00072BB0"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3D01C6" w:rsidRPr="00CD1FD1">
        <w:rPr>
          <w:rFonts w:ascii="Museo Sans 300" w:hAnsi="Museo Sans 300"/>
          <w:b/>
          <w:sz w:val="22"/>
          <w:szCs w:val="22"/>
          <w:lang w:val="es-MX"/>
        </w:rPr>
        <w:t>2</w:t>
      </w:r>
    </w:p>
    <w:p w:rsidR="00123067" w:rsidRPr="00CD1FD1" w:rsidRDefault="00E75292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Millones de $</w:t>
      </w:r>
    </w:p>
    <w:p w:rsidR="00123067" w:rsidRPr="00993516" w:rsidRDefault="00123067" w:rsidP="00E75292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</w:p>
    <w:p w:rsidR="00E75292" w:rsidRDefault="006E1D43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6E1D43">
        <w:rPr>
          <w:noProof/>
        </w:rPr>
        <w:drawing>
          <wp:inline distT="0" distB="0" distL="0" distR="0" wp14:anchorId="4E3E0D12" wp14:editId="3D884B39">
            <wp:extent cx="5971540" cy="211569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F5" w:rsidRPr="00CD1FD1" w:rsidRDefault="00D6012E" w:rsidP="00757972">
      <w:pPr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br w:type="page"/>
      </w:r>
      <w:bookmarkStart w:id="43" w:name="_Toc411843466"/>
      <w:bookmarkStart w:id="44" w:name="_Toc56581212"/>
      <w:r w:rsidR="00757972">
        <w:rPr>
          <w:rFonts w:ascii="Museo Sans 300" w:hAnsi="Museo Sans 300"/>
          <w:b/>
          <w:sz w:val="22"/>
          <w:szCs w:val="22"/>
          <w:lang w:val="es-MX"/>
        </w:rPr>
        <w:lastRenderedPageBreak/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.2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Gasto de capital</w:t>
      </w:r>
      <w:bookmarkEnd w:id="43"/>
      <w:bookmarkEnd w:id="44"/>
    </w:p>
    <w:p w:rsidR="00BE54F5" w:rsidRPr="00CD1FD1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F7266" w:rsidRDefault="00BF7266" w:rsidP="00844663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Los gastos de capital del SPNF al mes de </w:t>
      </w:r>
      <w:r w:rsidR="006E1D43">
        <w:rPr>
          <w:rFonts w:ascii="Museo Sans 300" w:hAnsi="Museo Sans 300" w:cs="Arial"/>
          <w:iCs/>
          <w:sz w:val="22"/>
          <w:szCs w:val="22"/>
          <w:lang w:val="es-419"/>
        </w:rPr>
        <w:t>septiembre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de 2022 alcanzaron un monto de $</w:t>
      </w:r>
      <w:r w:rsidR="009D4A96">
        <w:rPr>
          <w:rFonts w:ascii="Museo Sans 300" w:hAnsi="Museo Sans 300" w:cs="Arial"/>
          <w:iCs/>
          <w:sz w:val="22"/>
          <w:szCs w:val="22"/>
          <w:lang w:val="es-419"/>
        </w:rPr>
        <w:t>581.4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millones, experimentando un</w:t>
      </w:r>
      <w:r w:rsidR="009D4A96">
        <w:rPr>
          <w:rFonts w:ascii="Museo Sans 300" w:hAnsi="Museo Sans 300" w:cs="Arial"/>
          <w:iCs/>
          <w:sz w:val="22"/>
          <w:szCs w:val="22"/>
          <w:lang w:val="es-419"/>
        </w:rPr>
        <w:t xml:space="preserve">a disminución 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de </w:t>
      </w:r>
      <w:r w:rsidR="009D4A96">
        <w:rPr>
          <w:rFonts w:ascii="Museo Sans 300" w:hAnsi="Museo Sans 300" w:cs="Arial"/>
          <w:iCs/>
          <w:sz w:val="22"/>
          <w:szCs w:val="22"/>
          <w:lang w:val="es-419"/>
        </w:rPr>
        <w:t>9.9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>% con respecto a 2021, producto</w:t>
      </w:r>
      <w:r w:rsidR="00A517F2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9D4A96">
        <w:rPr>
          <w:rFonts w:ascii="Museo Sans 300" w:hAnsi="Museo Sans 300" w:cs="Arial"/>
          <w:iCs/>
          <w:sz w:val="22"/>
          <w:szCs w:val="22"/>
          <w:lang w:val="es-419"/>
        </w:rPr>
        <w:t xml:space="preserve">de una reducción de $.145.7 millones en la inversión pública y un 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incremento en las transferencias de capital por un valor de $8</w:t>
      </w:r>
      <w:r w:rsidR="009D4A96">
        <w:rPr>
          <w:rFonts w:ascii="Museo Sans 300" w:hAnsi="Museo Sans 300" w:cs="Arial"/>
          <w:iCs/>
          <w:sz w:val="22"/>
          <w:szCs w:val="22"/>
          <w:lang w:val="es-419"/>
        </w:rPr>
        <w:t>1.6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millones, donde destacan las realizadas</w:t>
      </w:r>
      <w:r w:rsidR="00036F93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al </w:t>
      </w:r>
      <w:r w:rsidR="00B76E74">
        <w:rPr>
          <w:rFonts w:ascii="Museo Sans 300" w:hAnsi="Museo Sans 300" w:cs="Arial"/>
          <w:iCs/>
          <w:sz w:val="22"/>
          <w:szCs w:val="22"/>
          <w:lang w:val="es-419"/>
        </w:rPr>
        <w:t>R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amo de </w:t>
      </w:r>
      <w:r w:rsidR="00B76E74">
        <w:rPr>
          <w:rFonts w:ascii="Museo Sans 300" w:hAnsi="Museo Sans 300" w:cs="Arial"/>
          <w:iCs/>
          <w:sz w:val="22"/>
          <w:szCs w:val="22"/>
          <w:lang w:val="es-419"/>
        </w:rPr>
        <w:t>E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ducación destinada a la educación parvularia, media y básica por </w:t>
      </w:r>
      <w:r w:rsidRPr="00AA7673">
        <w:rPr>
          <w:rFonts w:ascii="Museo Sans 300" w:hAnsi="Museo Sans 300" w:cs="Arial"/>
          <w:iCs/>
          <w:sz w:val="22"/>
          <w:szCs w:val="22"/>
          <w:lang w:val="es-419"/>
        </w:rPr>
        <w:t>$</w:t>
      </w:r>
      <w:r w:rsidR="00AA7673" w:rsidRPr="00AA7673">
        <w:rPr>
          <w:rFonts w:ascii="Museo Sans 300" w:hAnsi="Museo Sans 300" w:cs="Arial"/>
          <w:iCs/>
          <w:sz w:val="22"/>
          <w:szCs w:val="22"/>
          <w:lang w:val="es-419"/>
        </w:rPr>
        <w:t>52.9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036F93">
        <w:rPr>
          <w:rFonts w:ascii="Museo Sans 300" w:hAnsi="Museo Sans 300" w:cs="Arial"/>
          <w:iCs/>
          <w:sz w:val="22"/>
          <w:szCs w:val="22"/>
          <w:lang w:val="es-419"/>
        </w:rPr>
        <w:t>;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B76E74">
        <w:rPr>
          <w:rFonts w:ascii="Museo Sans 300" w:hAnsi="Museo Sans 300" w:cs="Arial"/>
          <w:iCs/>
          <w:sz w:val="22"/>
          <w:szCs w:val="22"/>
          <w:lang w:val="es-419"/>
        </w:rPr>
        <w:t>P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royectos del Ministerio de Agricultura y Ganadería, </w:t>
      </w:r>
      <w:r w:rsidR="00036F93">
        <w:rPr>
          <w:rFonts w:ascii="Museo Sans 300" w:hAnsi="Museo Sans 300" w:cs="Arial"/>
          <w:iCs/>
          <w:sz w:val="22"/>
          <w:szCs w:val="22"/>
          <w:lang w:val="es-419"/>
        </w:rPr>
        <w:t xml:space="preserve">orientados 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a la </w:t>
      </w:r>
      <w:r w:rsidR="00B82AF7">
        <w:rPr>
          <w:rFonts w:ascii="Museo Sans 300" w:hAnsi="Museo Sans 300" w:cs="Arial"/>
          <w:iCs/>
          <w:sz w:val="22"/>
          <w:szCs w:val="22"/>
          <w:lang w:val="es-419"/>
        </w:rPr>
        <w:t xml:space="preserve">reconversión Agropecuaria 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por </w:t>
      </w:r>
      <w:r w:rsidRPr="00AA7673">
        <w:rPr>
          <w:rFonts w:ascii="Museo Sans 300" w:hAnsi="Museo Sans 300" w:cs="Arial"/>
          <w:iCs/>
          <w:sz w:val="22"/>
          <w:szCs w:val="22"/>
          <w:lang w:val="es-419"/>
        </w:rPr>
        <w:t>$ 2</w:t>
      </w:r>
      <w:r w:rsidR="00AA7673" w:rsidRPr="00AA7673">
        <w:rPr>
          <w:rFonts w:ascii="Museo Sans 300" w:hAnsi="Museo Sans 300" w:cs="Arial"/>
          <w:iCs/>
          <w:sz w:val="22"/>
          <w:szCs w:val="22"/>
          <w:lang w:val="es-419"/>
        </w:rPr>
        <w:t>1.1</w:t>
      </w:r>
      <w:r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AA7673">
        <w:rPr>
          <w:rFonts w:ascii="Museo Sans 300" w:hAnsi="Museo Sans 300" w:cs="Arial"/>
          <w:iCs/>
          <w:sz w:val="22"/>
          <w:szCs w:val="22"/>
          <w:lang w:val="es-419"/>
        </w:rPr>
        <w:t>.</w:t>
      </w:r>
    </w:p>
    <w:p w:rsidR="00BF7266" w:rsidRPr="00BF7266" w:rsidRDefault="00BF7266" w:rsidP="00BF7266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BF7266" w:rsidRDefault="00B82AF7" w:rsidP="00BF7266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>
        <w:rPr>
          <w:rFonts w:ascii="Museo Sans 300" w:hAnsi="Museo Sans 300" w:cs="Arial"/>
          <w:iCs/>
          <w:sz w:val="22"/>
          <w:szCs w:val="22"/>
          <w:lang w:val="es-419"/>
        </w:rPr>
        <w:t>Por su parte, l</w:t>
      </w:r>
      <w:r w:rsidR="00BF7266" w:rsidRPr="00963750">
        <w:rPr>
          <w:rFonts w:ascii="Museo Sans 300" w:hAnsi="Museo Sans 300" w:cs="Arial"/>
          <w:iCs/>
          <w:sz w:val="22"/>
          <w:szCs w:val="22"/>
          <w:lang w:val="es-419"/>
        </w:rPr>
        <w:t>a Inversión Pública del SPNF alcanzó un valor de $</w:t>
      </w:r>
      <w:r w:rsidR="009D4A96" w:rsidRPr="00963750">
        <w:rPr>
          <w:rFonts w:ascii="Museo Sans 300" w:hAnsi="Museo Sans 300" w:cs="Arial"/>
          <w:iCs/>
          <w:sz w:val="22"/>
          <w:szCs w:val="22"/>
          <w:lang w:val="es-419"/>
        </w:rPr>
        <w:t>436.8</w:t>
      </w:r>
      <w:r w:rsidR="00BF7266" w:rsidRPr="00963750">
        <w:rPr>
          <w:rFonts w:ascii="Museo Sans 300" w:hAnsi="Museo Sans 300" w:cs="Arial"/>
          <w:iCs/>
          <w:sz w:val="22"/>
          <w:szCs w:val="22"/>
          <w:lang w:val="es-419"/>
        </w:rPr>
        <w:t xml:space="preserve"> millones, menor en $</w:t>
      </w:r>
      <w:r w:rsidR="009D4A96" w:rsidRPr="00963750">
        <w:rPr>
          <w:rFonts w:ascii="Museo Sans 300" w:hAnsi="Museo Sans 300" w:cs="Arial"/>
          <w:iCs/>
          <w:sz w:val="22"/>
          <w:szCs w:val="22"/>
          <w:lang w:val="es-419"/>
        </w:rPr>
        <w:t>145.7</w:t>
      </w:r>
      <w:r w:rsidR="00BF7266" w:rsidRPr="00963750">
        <w:rPr>
          <w:rFonts w:ascii="Museo Sans 300" w:hAnsi="Museo Sans 300" w:cs="Arial"/>
          <w:iCs/>
          <w:sz w:val="22"/>
          <w:szCs w:val="22"/>
          <w:lang w:val="es-419"/>
        </w:rPr>
        <w:t xml:space="preserve"> millones con respecto</w:t>
      </w:r>
      <w:r w:rsidR="00BF7266"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a la Inversión ejecutada a la misma fecha del año anterior; representando un 1.</w:t>
      </w:r>
      <w:r w:rsidR="009D4A96">
        <w:rPr>
          <w:rFonts w:ascii="Museo Sans 300" w:hAnsi="Museo Sans 300" w:cs="Arial"/>
          <w:iCs/>
          <w:sz w:val="22"/>
          <w:szCs w:val="22"/>
          <w:lang w:val="es-419"/>
        </w:rPr>
        <w:t>4</w:t>
      </w:r>
      <w:r w:rsidR="00BF7266"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% del PIB. </w:t>
      </w:r>
      <w:r>
        <w:rPr>
          <w:rFonts w:ascii="Museo Sans 300" w:hAnsi="Museo Sans 300" w:cs="Arial"/>
          <w:iCs/>
          <w:sz w:val="22"/>
          <w:szCs w:val="22"/>
          <w:lang w:val="es-419"/>
        </w:rPr>
        <w:t xml:space="preserve">Entre las </w:t>
      </w:r>
      <w:r w:rsidR="00BF7266"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instituciones </w:t>
      </w:r>
      <w:r>
        <w:rPr>
          <w:rFonts w:ascii="Museo Sans 300" w:hAnsi="Museo Sans 300" w:cs="Arial"/>
          <w:iCs/>
          <w:sz w:val="22"/>
          <w:szCs w:val="22"/>
          <w:lang w:val="es-419"/>
        </w:rPr>
        <w:t xml:space="preserve">con mayor ejecución </w:t>
      </w:r>
      <w:r w:rsidR="00887E65">
        <w:rPr>
          <w:rFonts w:ascii="Museo Sans 300" w:hAnsi="Museo Sans 300" w:cs="Arial"/>
          <w:iCs/>
          <w:sz w:val="22"/>
          <w:szCs w:val="22"/>
          <w:lang w:val="es-419"/>
        </w:rPr>
        <w:t xml:space="preserve">destacan: </w:t>
      </w:r>
      <w:r w:rsidR="00BF7266" w:rsidRPr="00887E65">
        <w:rPr>
          <w:rFonts w:ascii="Museo Sans 300" w:hAnsi="Museo Sans 300" w:cs="Arial"/>
          <w:iCs/>
          <w:sz w:val="22"/>
          <w:szCs w:val="22"/>
          <w:lang w:val="es-419"/>
        </w:rPr>
        <w:t>CEL, MINEDUCYT, MINSAL, DOM</w:t>
      </w:r>
      <w:r w:rsidR="00887E65" w:rsidRPr="00887E65">
        <w:rPr>
          <w:rFonts w:ascii="Museo Sans 300" w:hAnsi="Museo Sans 300" w:cs="Arial"/>
          <w:iCs/>
          <w:sz w:val="22"/>
          <w:szCs w:val="22"/>
          <w:lang w:val="es-419"/>
        </w:rPr>
        <w:t>, FOVIAL, MOPT, entre otras</w:t>
      </w:r>
      <w:r w:rsidR="00BF7266" w:rsidRPr="00887E65">
        <w:rPr>
          <w:rFonts w:ascii="Museo Sans 300" w:hAnsi="Museo Sans 300" w:cs="Arial"/>
          <w:iCs/>
          <w:sz w:val="22"/>
          <w:szCs w:val="22"/>
          <w:lang w:val="es-419"/>
        </w:rPr>
        <w:t>.</w:t>
      </w:r>
      <w:r w:rsidR="00BF7266" w:rsidRPr="00BF7266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</w:p>
    <w:p w:rsidR="00887E65" w:rsidRPr="00BF7266" w:rsidRDefault="00887E65" w:rsidP="00BF7266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6059B0" w:rsidRPr="006059B0" w:rsidRDefault="006059B0" w:rsidP="006059B0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6059B0">
        <w:rPr>
          <w:rFonts w:ascii="Museo Sans 300" w:hAnsi="Museo Sans 300" w:cs="Arial"/>
          <w:iCs/>
          <w:sz w:val="22"/>
          <w:szCs w:val="22"/>
          <w:lang w:val="es-419"/>
        </w:rPr>
        <w:t>A nivel de subsectores, el Gobierno Central Consolidado ejecutó el 68.5% ($299.1 millones) del total, Resto del Gobierno General 7.9% ($34.6 millones) y las Empresas Públicas ejecutaron un 23.6% ($103.1 millones) del total.</w:t>
      </w:r>
      <w:r w:rsidR="008B0BB7">
        <w:rPr>
          <w:rFonts w:ascii="Museo Sans 300" w:hAnsi="Museo Sans 300" w:cs="Arial"/>
          <w:iCs/>
          <w:sz w:val="22"/>
          <w:szCs w:val="22"/>
          <w:lang w:val="es-419"/>
        </w:rPr>
        <w:t xml:space="preserve">  </w:t>
      </w:r>
    </w:p>
    <w:p w:rsidR="006059B0" w:rsidRPr="006059B0" w:rsidRDefault="006059B0" w:rsidP="00BF7266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highlight w:val="yellow"/>
        </w:rPr>
      </w:pPr>
    </w:p>
    <w:p w:rsidR="00BF7266" w:rsidRPr="009D4A96" w:rsidRDefault="00BF7266" w:rsidP="007628C0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highlight w:val="yellow"/>
        </w:rPr>
      </w:pPr>
    </w:p>
    <w:p w:rsidR="000B7219" w:rsidRDefault="00843EEE" w:rsidP="00051DD1">
      <w:pPr>
        <w:spacing w:before="240" w:after="240"/>
        <w:contextualSpacing/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.</w:t>
      </w:r>
      <w:r w:rsidR="007628C0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7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 xml:space="preserve">: Inversión </w:t>
      </w:r>
      <w:r w:rsidR="001D7D68" w:rsidRPr="00CD1FD1">
        <w:rPr>
          <w:rFonts w:ascii="Museo Sans 300" w:hAnsi="Museo Sans 300"/>
          <w:sz w:val="22"/>
          <w:szCs w:val="22"/>
          <w:lang w:val="es-MX"/>
        </w:rPr>
        <w:t>Pública a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861E9B" w:rsidRPr="00CD1FD1">
        <w:rPr>
          <w:rFonts w:ascii="Museo Sans 300" w:hAnsi="Museo Sans 300"/>
          <w:sz w:val="22"/>
          <w:szCs w:val="22"/>
          <w:lang w:val="es-MX"/>
        </w:rPr>
        <w:t>14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202</w:t>
      </w:r>
      <w:r w:rsidR="003D01C6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12688D" w:rsidRPr="00CD1FD1" w:rsidRDefault="0012688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3D01C6" w:rsidRPr="00987C7A" w:rsidRDefault="006E1D43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6E1D43">
        <w:rPr>
          <w:noProof/>
        </w:rPr>
        <w:drawing>
          <wp:inline distT="0" distB="0" distL="0" distR="0" wp14:anchorId="30BAA1D3" wp14:editId="02DEE683">
            <wp:extent cx="5318270" cy="318741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451" cy="319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D" w:rsidRPr="00CD1FD1" w:rsidRDefault="003E7EA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201628" w:rsidRPr="00CD1FD1" w:rsidRDefault="00201628" w:rsidP="00080BF7">
      <w:pPr>
        <w:ind w:right="-32"/>
        <w:jc w:val="both"/>
        <w:rPr>
          <w:rFonts w:ascii="Museo Sans 300" w:hAnsi="Museo Sans 300" w:cs="Arial"/>
          <w:iCs/>
          <w:sz w:val="22"/>
          <w:szCs w:val="22"/>
        </w:rPr>
      </w:pPr>
    </w:p>
    <w:p w:rsidR="00AB5AA8" w:rsidRPr="00CD1FD1" w:rsidRDefault="00AB5AA8" w:rsidP="00AB5AA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Por sectores de actividad, la inversión en el sector Desarrollo </w:t>
      </w:r>
      <w:r w:rsidR="001D7D68" w:rsidRPr="00CD1FD1">
        <w:rPr>
          <w:rFonts w:ascii="Museo Sans 300" w:hAnsi="Museo Sans 300"/>
          <w:sz w:val="22"/>
          <w:szCs w:val="22"/>
          <w:lang w:val="es-MX"/>
        </w:rPr>
        <w:t xml:space="preserve">Económico </w:t>
      </w:r>
      <w:r w:rsidRPr="00CD1FD1">
        <w:rPr>
          <w:rFonts w:ascii="Museo Sans 300" w:hAnsi="Museo Sans 300"/>
          <w:sz w:val="22"/>
          <w:szCs w:val="22"/>
          <w:lang w:val="es-MX"/>
        </w:rPr>
        <w:t>se ejecutó un total de $</w:t>
      </w:r>
      <w:r w:rsidR="00051DD1">
        <w:rPr>
          <w:rFonts w:ascii="Museo Sans 300" w:hAnsi="Museo Sans 300"/>
          <w:sz w:val="22"/>
          <w:szCs w:val="22"/>
          <w:lang w:val="es-MX"/>
        </w:rPr>
        <w:t>1</w:t>
      </w:r>
      <w:r w:rsidR="008F34B0">
        <w:rPr>
          <w:rFonts w:ascii="Museo Sans 300" w:hAnsi="Museo Sans 300"/>
          <w:sz w:val="22"/>
          <w:szCs w:val="22"/>
          <w:lang w:val="es-MX"/>
        </w:rPr>
        <w:t>24.3</w:t>
      </w:r>
      <w:r w:rsidR="00AB3647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millones, con una participación de </w:t>
      </w:r>
      <w:r w:rsidR="008F34B0">
        <w:rPr>
          <w:rFonts w:ascii="Museo Sans 300" w:hAnsi="Museo Sans 300"/>
          <w:sz w:val="22"/>
          <w:szCs w:val="22"/>
          <w:lang w:val="es-MX"/>
        </w:rPr>
        <w:t>28.4</w:t>
      </w:r>
      <w:r w:rsidRPr="00CD1FD1">
        <w:rPr>
          <w:rFonts w:ascii="Museo Sans 300" w:hAnsi="Museo Sans 300"/>
          <w:sz w:val="22"/>
          <w:szCs w:val="22"/>
          <w:lang w:val="es-MX"/>
        </w:rPr>
        <w:t>% de la inversión total, destacando los recursos destinados al subsector de Transporte y Almacenaje ($</w:t>
      </w:r>
      <w:r w:rsidR="008F34B0">
        <w:rPr>
          <w:rFonts w:ascii="Museo Sans 300" w:hAnsi="Museo Sans 300"/>
          <w:sz w:val="22"/>
          <w:szCs w:val="22"/>
          <w:lang w:val="es-MX"/>
        </w:rPr>
        <w:t>50.1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 xml:space="preserve"> con una participación del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1</w:t>
      </w:r>
      <w:r w:rsidR="008F34B0">
        <w:rPr>
          <w:rFonts w:ascii="Museo Sans 300" w:hAnsi="Museo Sans 300"/>
          <w:sz w:val="22"/>
          <w:szCs w:val="22"/>
          <w:lang w:val="es-MX"/>
        </w:rPr>
        <w:t>1.5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>%</w:t>
      </w:r>
      <w:r w:rsidRPr="00CD1FD1">
        <w:rPr>
          <w:rFonts w:ascii="Museo Sans 300" w:hAnsi="Museo Sans 300"/>
          <w:sz w:val="22"/>
          <w:szCs w:val="22"/>
          <w:lang w:val="es-MX"/>
        </w:rPr>
        <w:t>)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 y el sector de energía</w:t>
      </w:r>
      <w:r w:rsidR="00FB353F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>($</w:t>
      </w:r>
      <w:r w:rsidR="008F34B0">
        <w:rPr>
          <w:rFonts w:ascii="Museo Sans 300" w:hAnsi="Museo Sans 300"/>
          <w:sz w:val="22"/>
          <w:szCs w:val="22"/>
          <w:lang w:val="es-MX"/>
        </w:rPr>
        <w:t>67.8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 millones con una participación del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1</w:t>
      </w:r>
      <w:r w:rsidR="008F34B0">
        <w:rPr>
          <w:rFonts w:ascii="Museo Sans 300" w:hAnsi="Museo Sans 300"/>
          <w:sz w:val="22"/>
          <w:szCs w:val="22"/>
          <w:lang w:val="es-MX"/>
        </w:rPr>
        <w:t>5.5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%)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entre otros, tal como se muestra en la tabla No. 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>4</w:t>
      </w:r>
      <w:r w:rsidRPr="00CD1FD1">
        <w:rPr>
          <w:rFonts w:ascii="Museo Sans 300" w:hAnsi="Museo Sans 300"/>
          <w:sz w:val="22"/>
          <w:szCs w:val="22"/>
          <w:lang w:val="es-MX"/>
        </w:rPr>
        <w:t>.</w:t>
      </w:r>
    </w:p>
    <w:p w:rsidR="00E52CBD" w:rsidRPr="00CD1FD1" w:rsidRDefault="00E52CB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31F0C" w:rsidRDefault="005327AE" w:rsidP="00231F0C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>Asimismo, la inversión para el Desarrollo Social ascendió a $</w:t>
      </w:r>
      <w:r w:rsidR="008F34B0">
        <w:rPr>
          <w:rFonts w:ascii="Museo Sans 300" w:hAnsi="Museo Sans 300"/>
          <w:sz w:val="22"/>
          <w:szCs w:val="22"/>
          <w:lang w:val="es-MX"/>
        </w:rPr>
        <w:t>301.8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con una participación del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51DD1">
        <w:rPr>
          <w:rFonts w:ascii="Museo Sans 300" w:hAnsi="Museo Sans 300"/>
          <w:sz w:val="22"/>
          <w:szCs w:val="22"/>
          <w:lang w:val="es-MX"/>
        </w:rPr>
        <w:t>6</w:t>
      </w:r>
      <w:r w:rsidR="008F34B0">
        <w:rPr>
          <w:rFonts w:ascii="Museo Sans 300" w:hAnsi="Museo Sans 300"/>
          <w:sz w:val="22"/>
          <w:szCs w:val="22"/>
          <w:lang w:val="es-MX"/>
        </w:rPr>
        <w:t>9.1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en la inversión total, destacándose las obras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salud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, 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>con $</w:t>
      </w:r>
      <w:r w:rsidR="008F34B0">
        <w:rPr>
          <w:rFonts w:ascii="Museo Sans 300" w:hAnsi="Museo Sans 300"/>
          <w:sz w:val="22"/>
          <w:szCs w:val="22"/>
          <w:lang w:val="es-MX"/>
        </w:rPr>
        <w:t>90.3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 xml:space="preserve"> millones con una participación de </w:t>
      </w:r>
      <w:r w:rsidR="008F34B0">
        <w:rPr>
          <w:rFonts w:ascii="Museo Sans 300" w:hAnsi="Museo Sans 300"/>
          <w:sz w:val="22"/>
          <w:szCs w:val="22"/>
          <w:lang w:val="es-MX"/>
        </w:rPr>
        <w:t>20.7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>%</w:t>
      </w:r>
      <w:r w:rsidR="00A41536" w:rsidRPr="00CD1FD1">
        <w:rPr>
          <w:rFonts w:ascii="Museo Sans 300" w:hAnsi="Museo Sans 300"/>
          <w:sz w:val="22"/>
          <w:szCs w:val="22"/>
          <w:lang w:val="es-MX"/>
        </w:rPr>
        <w:t xml:space="preserve"> del total</w:t>
      </w:r>
      <w:r w:rsidR="00051DD1">
        <w:rPr>
          <w:rFonts w:ascii="Museo Sans 300" w:hAnsi="Museo Sans 300"/>
          <w:sz w:val="22"/>
          <w:szCs w:val="22"/>
          <w:lang w:val="es-MX"/>
        </w:rPr>
        <w:t>;</w:t>
      </w:r>
      <w:r w:rsidR="008F34B0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51DD1">
        <w:rPr>
          <w:rFonts w:ascii="Museo Sans 300" w:hAnsi="Museo Sans 300"/>
          <w:sz w:val="22"/>
          <w:szCs w:val="22"/>
          <w:lang w:val="es-MX"/>
        </w:rPr>
        <w:t>Educación y Cultura $</w:t>
      </w:r>
      <w:r w:rsidR="008F34B0">
        <w:rPr>
          <w:rFonts w:ascii="Museo Sans 300" w:hAnsi="Museo Sans 300"/>
          <w:sz w:val="22"/>
          <w:szCs w:val="22"/>
          <w:lang w:val="es-MX"/>
        </w:rPr>
        <w:t>113.8</w:t>
      </w:r>
      <w:r w:rsidR="00051DD1">
        <w:rPr>
          <w:rFonts w:ascii="Museo Sans 300" w:hAnsi="Museo Sans 300"/>
          <w:sz w:val="22"/>
          <w:szCs w:val="22"/>
          <w:lang w:val="es-MX"/>
        </w:rPr>
        <w:t xml:space="preserve"> millones con una participación</w:t>
      </w:r>
      <w:r w:rsidR="00036F93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40E05">
        <w:rPr>
          <w:rFonts w:ascii="Museo Sans 300" w:hAnsi="Museo Sans 300"/>
          <w:sz w:val="22"/>
          <w:szCs w:val="22"/>
          <w:lang w:val="es-MX"/>
        </w:rPr>
        <w:t xml:space="preserve">de </w:t>
      </w:r>
      <w:r w:rsidR="008F34B0">
        <w:rPr>
          <w:rFonts w:ascii="Museo Sans 300" w:hAnsi="Museo Sans 300"/>
          <w:sz w:val="22"/>
          <w:szCs w:val="22"/>
          <w:lang w:val="es-MX"/>
        </w:rPr>
        <w:t>26.0</w:t>
      </w:r>
      <w:r w:rsidR="00051DD1">
        <w:rPr>
          <w:rFonts w:ascii="Museo Sans 300" w:hAnsi="Museo Sans 300"/>
          <w:sz w:val="22"/>
          <w:szCs w:val="22"/>
          <w:lang w:val="es-MX"/>
        </w:rPr>
        <w:t xml:space="preserve">%; y Desarrollo Urbano y Comunal </w:t>
      </w:r>
      <w:r w:rsidR="00240E05">
        <w:rPr>
          <w:rFonts w:ascii="Museo Sans 300" w:hAnsi="Museo Sans 300"/>
          <w:sz w:val="22"/>
          <w:szCs w:val="22"/>
          <w:lang w:val="es-MX"/>
        </w:rPr>
        <w:t xml:space="preserve">con </w:t>
      </w:r>
      <w:r w:rsidR="00051DD1">
        <w:rPr>
          <w:rFonts w:ascii="Museo Sans 300" w:hAnsi="Museo Sans 300"/>
          <w:sz w:val="22"/>
          <w:szCs w:val="22"/>
          <w:lang w:val="es-MX"/>
        </w:rPr>
        <w:t>$</w:t>
      </w:r>
      <w:r w:rsidR="008F34B0">
        <w:rPr>
          <w:rFonts w:ascii="Museo Sans 300" w:hAnsi="Museo Sans 300"/>
          <w:sz w:val="22"/>
          <w:szCs w:val="22"/>
          <w:lang w:val="es-MX"/>
        </w:rPr>
        <w:t>62.0</w:t>
      </w:r>
      <w:r w:rsidR="00051DD1">
        <w:rPr>
          <w:rFonts w:ascii="Museo Sans 300" w:hAnsi="Museo Sans 300"/>
          <w:sz w:val="22"/>
          <w:szCs w:val="22"/>
          <w:lang w:val="es-MX"/>
        </w:rPr>
        <w:t xml:space="preserve"> millones, equiv</w:t>
      </w:r>
      <w:r w:rsidR="00B914BA">
        <w:rPr>
          <w:rFonts w:ascii="Museo Sans 300" w:hAnsi="Museo Sans 300"/>
          <w:sz w:val="22"/>
          <w:szCs w:val="22"/>
          <w:lang w:val="es-MX"/>
        </w:rPr>
        <w:t>a</w:t>
      </w:r>
      <w:r w:rsidR="00051DD1">
        <w:rPr>
          <w:rFonts w:ascii="Museo Sans 300" w:hAnsi="Museo Sans 300"/>
          <w:sz w:val="22"/>
          <w:szCs w:val="22"/>
          <w:lang w:val="es-MX"/>
        </w:rPr>
        <w:t>lente a 1</w:t>
      </w:r>
      <w:r w:rsidR="008F34B0">
        <w:rPr>
          <w:rFonts w:ascii="Museo Sans 300" w:hAnsi="Museo Sans 300"/>
          <w:sz w:val="22"/>
          <w:szCs w:val="22"/>
          <w:lang w:val="es-MX"/>
        </w:rPr>
        <w:t>4.2</w:t>
      </w:r>
      <w:r w:rsidR="00051DD1">
        <w:rPr>
          <w:rFonts w:ascii="Museo Sans 300" w:hAnsi="Museo Sans 300"/>
          <w:sz w:val="22"/>
          <w:szCs w:val="22"/>
          <w:lang w:val="es-MX"/>
        </w:rPr>
        <w:t>% del total,</w:t>
      </w:r>
      <w:r w:rsidR="00B914BA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entre otros.</w:t>
      </w:r>
      <w:r w:rsidR="00D912E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9F0A52" w:rsidRPr="00CD1FD1" w:rsidRDefault="009F0A52" w:rsidP="00231F0C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746985" w:rsidRPr="00CD1FD1" w:rsidRDefault="00746985" w:rsidP="00231F0C">
      <w:pPr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Tabla </w:t>
      </w:r>
      <w:r w:rsidR="006B57E8"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: Inversión </w:t>
      </w:r>
      <w:r w:rsidR="00E6182C" w:rsidRPr="00CD1FD1">
        <w:rPr>
          <w:rFonts w:ascii="Museo Sans 300" w:hAnsi="Museo Sans 300"/>
          <w:b/>
          <w:sz w:val="22"/>
          <w:szCs w:val="22"/>
          <w:lang w:val="es-MX"/>
        </w:rPr>
        <w:t>P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ública por </w:t>
      </w:r>
      <w:r w:rsidR="00E6182C" w:rsidRPr="00CD1FD1">
        <w:rPr>
          <w:rFonts w:ascii="Museo Sans 300" w:hAnsi="Museo Sans 300"/>
          <w:b/>
          <w:sz w:val="22"/>
          <w:szCs w:val="22"/>
          <w:lang w:val="es-MX"/>
        </w:rPr>
        <w:t>S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ectores de </w:t>
      </w:r>
      <w:r w:rsidR="00E6182C" w:rsidRPr="00CD1FD1">
        <w:rPr>
          <w:rFonts w:ascii="Museo Sans 300" w:hAnsi="Museo Sans 300"/>
          <w:b/>
          <w:sz w:val="22"/>
          <w:szCs w:val="22"/>
          <w:lang w:val="es-MX"/>
        </w:rPr>
        <w:t>A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ctividad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b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</w:p>
    <w:p w:rsidR="00746985" w:rsidRPr="00CD1FD1" w:rsidRDefault="00746985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(En millones de $ y % de Participación)</w:t>
      </w:r>
    </w:p>
    <w:p w:rsidR="005327AE" w:rsidRPr="00CD1FD1" w:rsidRDefault="005327AE" w:rsidP="0074698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7D580D" w:rsidRPr="00CD1FD1" w:rsidRDefault="00D437ED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437ED">
        <w:rPr>
          <w:noProof/>
        </w:rPr>
        <w:drawing>
          <wp:inline distT="0" distB="0" distL="0" distR="0" wp14:anchorId="3C3DCE50" wp14:editId="2A2098AD">
            <wp:extent cx="5079002" cy="4425770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216" cy="443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85" w:rsidRPr="00CD1FD1" w:rsidRDefault="00746985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886FAC" w:rsidRPr="00C960C9" w:rsidRDefault="00886FAC" w:rsidP="00886FAC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45" w:name="_Toc308681668"/>
      <w:r w:rsidRPr="00C960C9">
        <w:rPr>
          <w:rFonts w:ascii="Museo Sans 300" w:hAnsi="Museo Sans 300"/>
          <w:sz w:val="22"/>
          <w:szCs w:val="22"/>
          <w:lang w:val="es-MX"/>
        </w:rPr>
        <w:t xml:space="preserve">Entre los programas y proyectos con mayores avances al mes de </w:t>
      </w:r>
      <w:r w:rsidR="006E1D43" w:rsidRPr="00C960C9">
        <w:rPr>
          <w:rFonts w:ascii="Museo Sans 300" w:hAnsi="Museo Sans 300"/>
          <w:sz w:val="22"/>
          <w:szCs w:val="22"/>
          <w:lang w:val="es-MX"/>
        </w:rPr>
        <w:t>septiembre</w:t>
      </w:r>
      <w:r w:rsidRPr="00C960C9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533421" w:rsidRPr="00C960C9">
        <w:rPr>
          <w:rFonts w:ascii="Museo Sans 300" w:hAnsi="Museo Sans 300"/>
          <w:sz w:val="22"/>
          <w:szCs w:val="22"/>
          <w:lang w:val="es-MX"/>
        </w:rPr>
        <w:t>2</w:t>
      </w:r>
      <w:r w:rsidRPr="00C960C9">
        <w:rPr>
          <w:rFonts w:ascii="Museo Sans 300" w:hAnsi="Museo Sans 300"/>
          <w:sz w:val="22"/>
          <w:szCs w:val="22"/>
          <w:lang w:val="es-MX"/>
        </w:rPr>
        <w:t xml:space="preserve"> se destacan los siguientes:</w:t>
      </w:r>
    </w:p>
    <w:p w:rsidR="00886FAC" w:rsidRPr="00DA45D4" w:rsidRDefault="00886FAC" w:rsidP="00886FAC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</w:p>
    <w:p w:rsidR="00533421" w:rsidRPr="006059B0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>CEL:</w:t>
      </w:r>
      <w:r w:rsidR="00EF0392" w:rsidRPr="006059B0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EF0392" w:rsidRPr="006059B0">
        <w:rPr>
          <w:rFonts w:ascii="Museo Sans 300" w:hAnsi="Museo Sans 300"/>
          <w:sz w:val="22"/>
          <w:szCs w:val="22"/>
          <w:lang w:val="es-MX"/>
        </w:rPr>
        <w:t xml:space="preserve">Central Hidroeléctrica 3 de </w:t>
      </w:r>
      <w:r w:rsidR="00B914BA" w:rsidRPr="006059B0">
        <w:rPr>
          <w:rFonts w:ascii="Museo Sans 300" w:hAnsi="Museo Sans 300"/>
          <w:sz w:val="22"/>
          <w:szCs w:val="22"/>
          <w:lang w:val="es-MX"/>
        </w:rPr>
        <w:t>f</w:t>
      </w:r>
      <w:r w:rsidR="00EF0392" w:rsidRPr="006059B0">
        <w:rPr>
          <w:rFonts w:ascii="Museo Sans 300" w:hAnsi="Museo Sans 300"/>
          <w:sz w:val="22"/>
          <w:szCs w:val="22"/>
          <w:lang w:val="es-MX"/>
        </w:rPr>
        <w:t>ebrero</w:t>
      </w:r>
      <w:r w:rsidR="00B914BA" w:rsidRPr="006059B0">
        <w:rPr>
          <w:rFonts w:ascii="Museo Sans 300" w:hAnsi="Museo Sans 300"/>
          <w:sz w:val="22"/>
          <w:szCs w:val="22"/>
          <w:lang w:val="es-MX"/>
        </w:rPr>
        <w:t>.</w:t>
      </w:r>
      <w:r w:rsidR="00EF0392" w:rsidRPr="006059B0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533421" w:rsidRPr="006059B0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33421" w:rsidRPr="00DA45D4" w:rsidRDefault="00533421" w:rsidP="00533421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>CEPA: Ampliación del Patio de Contenedores del Puerto de Acajutla, Etapa II, Ampliación de Terminal de Pasajeros del Aeropuerto Internacional de El Salvador, Monseñor Oscar Arnulfo Romero y Galdámez.</w:t>
      </w:r>
    </w:p>
    <w:p w:rsidR="00533421" w:rsidRPr="00DA45D4" w:rsidRDefault="00533421" w:rsidP="00B914BA">
      <w:pPr>
        <w:pStyle w:val="BodyText2"/>
        <w:tabs>
          <w:tab w:val="center" w:pos="4717"/>
        </w:tabs>
        <w:spacing w:after="0" w:line="240" w:lineRule="auto"/>
        <w:ind w:right="-32"/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  <w:r w:rsidRPr="00DA45D4">
        <w:rPr>
          <w:rFonts w:ascii="Museo Sans 300" w:hAnsi="Museo Sans 300"/>
          <w:sz w:val="22"/>
          <w:szCs w:val="22"/>
          <w:highlight w:val="yellow"/>
          <w:lang w:val="es-MX"/>
        </w:rPr>
        <w:t xml:space="preserve"> </w:t>
      </w:r>
    </w:p>
    <w:p w:rsidR="006059B0" w:rsidRPr="006059B0" w:rsidRDefault="006059B0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 xml:space="preserve">MINSAL: Programa de Respuesta de El Salvador ante el COVID-19, Programa Integrado de Salud II, Mejoramiento de Infraestructura y equipamiento de Unidades de Salud de Primer Nivel, a nivel nacional, Mejoramiento de Infraestructura y </w:t>
      </w:r>
      <w:r w:rsidR="00E66ABF">
        <w:rPr>
          <w:rFonts w:ascii="Museo Sans 300" w:hAnsi="Museo Sans 300"/>
          <w:sz w:val="22"/>
          <w:szCs w:val="22"/>
          <w:lang w:val="es-MX"/>
        </w:rPr>
        <w:t>E</w:t>
      </w:r>
      <w:r w:rsidRPr="006059B0">
        <w:rPr>
          <w:rFonts w:ascii="Museo Sans 300" w:hAnsi="Museo Sans 300"/>
          <w:sz w:val="22"/>
          <w:szCs w:val="22"/>
          <w:lang w:val="es-MX"/>
        </w:rPr>
        <w:t xml:space="preserve">quipamiento de la Red Nacional de Hospitales. Programa Integrado de </w:t>
      </w:r>
      <w:r w:rsidR="00E66ABF">
        <w:rPr>
          <w:rFonts w:ascii="Museo Sans 300" w:hAnsi="Museo Sans 300"/>
          <w:sz w:val="22"/>
          <w:szCs w:val="22"/>
          <w:lang w:val="es-MX"/>
        </w:rPr>
        <w:t>S</w:t>
      </w:r>
      <w:r w:rsidRPr="006059B0">
        <w:rPr>
          <w:rFonts w:ascii="Museo Sans 300" w:hAnsi="Museo Sans 300"/>
          <w:sz w:val="22"/>
          <w:szCs w:val="22"/>
          <w:lang w:val="es-MX"/>
        </w:rPr>
        <w:t>alud</w:t>
      </w:r>
      <w:r>
        <w:rPr>
          <w:rFonts w:ascii="Museo Sans 300" w:hAnsi="Museo Sans 300"/>
          <w:sz w:val="22"/>
          <w:szCs w:val="22"/>
          <w:lang w:val="es-MX"/>
        </w:rPr>
        <w:t>.</w:t>
      </w:r>
    </w:p>
    <w:p w:rsidR="00B914BA" w:rsidRPr="00DA45D4" w:rsidRDefault="00B914BA" w:rsidP="00533421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</w:p>
    <w:p w:rsidR="00533421" w:rsidRPr="006059B0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 xml:space="preserve">ANDA: Rehabilitación de las Obras de captación, potabilización y electromecánicas de la planta potabilizadora Las Pavas, Municipio de San Pablo Tacachico, Departamento de La Libertad, Programa de mejora de infraestructura y servicios, para optimizar el suministro de agua potable, a nivel nacional. </w:t>
      </w:r>
    </w:p>
    <w:p w:rsidR="00B914BA" w:rsidRPr="00DA45D4" w:rsidRDefault="00B914BA" w:rsidP="00533421">
      <w:pPr>
        <w:jc w:val="both"/>
        <w:rPr>
          <w:rFonts w:ascii="Museo Sans 300" w:hAnsi="Museo Sans 300" w:cs="Arial"/>
          <w:b/>
          <w:i/>
          <w:iCs/>
          <w:sz w:val="22"/>
          <w:szCs w:val="22"/>
          <w:highlight w:val="yellow"/>
          <w:lang w:val="es-MX"/>
        </w:rPr>
      </w:pPr>
    </w:p>
    <w:p w:rsidR="00533421" w:rsidRDefault="00B914BA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>MINEDUCYT: Programa de mejoramiento de ambientes educativos para la formación integral y aprendizajes, a nivel nacional, Programa de equipamiento y capacitación docente en tecnología e innovación al servicio de los aprendizajes, a nivel nacional. Programa de Reducción de Brecha Digital en Centros Escolares de El Salvador, Programa de Becas FANTEL a nivel nacional, para realizar estudios de Educación Superior.</w:t>
      </w:r>
    </w:p>
    <w:p w:rsidR="006059B0" w:rsidRDefault="006059B0" w:rsidP="006059B0">
      <w:pPr>
        <w:pStyle w:val="BodyText2"/>
        <w:spacing w:after="0" w:line="240" w:lineRule="auto"/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</w:p>
    <w:p w:rsidR="006059B0" w:rsidRPr="006059B0" w:rsidRDefault="006059B0" w:rsidP="006059B0">
      <w:pPr>
        <w:pStyle w:val="BodyText2"/>
        <w:spacing w:after="0" w:line="240" w:lineRule="auto"/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 xml:space="preserve">MOPT: Construcción de </w:t>
      </w:r>
      <w:proofErr w:type="spellStart"/>
      <w:r w:rsidRPr="006059B0">
        <w:rPr>
          <w:rFonts w:ascii="Museo Sans 300" w:hAnsi="Museo Sans 300"/>
          <w:sz w:val="22"/>
          <w:szCs w:val="22"/>
          <w:lang w:val="es-MX"/>
        </w:rPr>
        <w:t>By</w:t>
      </w:r>
      <w:proofErr w:type="spellEnd"/>
      <w:r w:rsidRPr="006059B0">
        <w:rPr>
          <w:rFonts w:ascii="Museo Sans 300" w:hAnsi="Museo Sans 300"/>
          <w:sz w:val="22"/>
          <w:szCs w:val="22"/>
          <w:lang w:val="es-MX"/>
        </w:rPr>
        <w:t xml:space="preserve"> Pass en la </w:t>
      </w:r>
      <w:r w:rsidR="00E66ABF">
        <w:rPr>
          <w:rFonts w:ascii="Museo Sans 300" w:hAnsi="Museo Sans 300"/>
          <w:sz w:val="22"/>
          <w:szCs w:val="22"/>
          <w:lang w:val="es-MX"/>
        </w:rPr>
        <w:t>C</w:t>
      </w:r>
      <w:r w:rsidRPr="006059B0">
        <w:rPr>
          <w:rFonts w:ascii="Museo Sans 300" w:hAnsi="Museo Sans 300"/>
          <w:sz w:val="22"/>
          <w:szCs w:val="22"/>
          <w:lang w:val="es-MX"/>
        </w:rPr>
        <w:t xml:space="preserve">iudad de San Miguel, Construcción de </w:t>
      </w:r>
      <w:proofErr w:type="spellStart"/>
      <w:r w:rsidRPr="006059B0">
        <w:rPr>
          <w:rFonts w:ascii="Museo Sans 300" w:hAnsi="Museo Sans 300"/>
          <w:sz w:val="22"/>
          <w:szCs w:val="22"/>
          <w:lang w:val="es-MX"/>
        </w:rPr>
        <w:t>By</w:t>
      </w:r>
      <w:proofErr w:type="spellEnd"/>
      <w:r w:rsidRPr="006059B0">
        <w:rPr>
          <w:rFonts w:ascii="Museo Sans 300" w:hAnsi="Museo Sans 300"/>
          <w:sz w:val="22"/>
          <w:szCs w:val="22"/>
          <w:lang w:val="es-MX"/>
        </w:rPr>
        <w:t xml:space="preserve"> Pass entre Carretera a Sonsonate y Carretera a Santa Ana (CA01W - CA08W), </w:t>
      </w:r>
      <w:r w:rsidR="00E66ABF">
        <w:rPr>
          <w:rFonts w:ascii="Museo Sans 300" w:hAnsi="Museo Sans 300"/>
          <w:sz w:val="22"/>
          <w:szCs w:val="22"/>
          <w:lang w:val="es-MX"/>
        </w:rPr>
        <w:t>M</w:t>
      </w:r>
      <w:r w:rsidRPr="006059B0">
        <w:rPr>
          <w:rFonts w:ascii="Museo Sans 300" w:hAnsi="Museo Sans 300"/>
          <w:sz w:val="22"/>
          <w:szCs w:val="22"/>
          <w:lang w:val="es-MX"/>
        </w:rPr>
        <w:t xml:space="preserve">unicipios de Colón, Ciudad Arce y </w:t>
      </w:r>
      <w:proofErr w:type="spellStart"/>
      <w:r w:rsidRPr="006059B0">
        <w:rPr>
          <w:rFonts w:ascii="Museo Sans 300" w:hAnsi="Museo Sans 300"/>
          <w:sz w:val="22"/>
          <w:szCs w:val="22"/>
          <w:lang w:val="es-MX"/>
        </w:rPr>
        <w:t>Sacacoyo</w:t>
      </w:r>
      <w:proofErr w:type="spellEnd"/>
      <w:r w:rsidRPr="006059B0">
        <w:rPr>
          <w:rFonts w:ascii="Museo Sans 300" w:hAnsi="Museo Sans 300"/>
          <w:sz w:val="22"/>
          <w:szCs w:val="22"/>
          <w:lang w:val="es-MX"/>
        </w:rPr>
        <w:t xml:space="preserve">, </w:t>
      </w:r>
      <w:r w:rsidR="00E66ABF">
        <w:rPr>
          <w:rFonts w:ascii="Museo Sans 300" w:hAnsi="Museo Sans 300"/>
          <w:sz w:val="22"/>
          <w:szCs w:val="22"/>
          <w:lang w:val="es-MX"/>
        </w:rPr>
        <w:t>D</w:t>
      </w:r>
      <w:r w:rsidRPr="006059B0">
        <w:rPr>
          <w:rFonts w:ascii="Museo Sans 300" w:hAnsi="Museo Sans 300"/>
          <w:sz w:val="22"/>
          <w:szCs w:val="22"/>
          <w:lang w:val="es-MX"/>
        </w:rPr>
        <w:t xml:space="preserve">epartamento de La Libertad. (MOPT-FGEN), Reconstrucción de descarga de aguas lluvias del sistema denominado: Valle Nuevo, Comunidad Belén, </w:t>
      </w:r>
      <w:r w:rsidR="00E66ABF">
        <w:rPr>
          <w:rFonts w:ascii="Museo Sans 300" w:hAnsi="Museo Sans 300"/>
          <w:sz w:val="22"/>
          <w:szCs w:val="22"/>
          <w:lang w:val="es-MX"/>
        </w:rPr>
        <w:t>M</w:t>
      </w:r>
      <w:r w:rsidRPr="006059B0">
        <w:rPr>
          <w:rFonts w:ascii="Museo Sans 300" w:hAnsi="Museo Sans 300"/>
          <w:sz w:val="22"/>
          <w:szCs w:val="22"/>
          <w:lang w:val="es-MX"/>
        </w:rPr>
        <w:t xml:space="preserve">unicipio de Ilopango, </w:t>
      </w:r>
      <w:r w:rsidR="00E66ABF">
        <w:rPr>
          <w:rFonts w:ascii="Museo Sans 300" w:hAnsi="Museo Sans 300"/>
          <w:sz w:val="22"/>
          <w:szCs w:val="22"/>
          <w:lang w:val="es-MX"/>
        </w:rPr>
        <w:t>D</w:t>
      </w:r>
      <w:r w:rsidRPr="006059B0">
        <w:rPr>
          <w:rFonts w:ascii="Museo Sans 300" w:hAnsi="Museo Sans 300"/>
          <w:sz w:val="22"/>
          <w:szCs w:val="22"/>
          <w:lang w:val="es-MX"/>
        </w:rPr>
        <w:t>epartamento de San Salvador.</w:t>
      </w:r>
    </w:p>
    <w:p w:rsidR="006059B0" w:rsidRPr="006059B0" w:rsidRDefault="006059B0" w:rsidP="006059B0">
      <w:pPr>
        <w:pStyle w:val="BodyText2"/>
        <w:spacing w:after="0" w:line="240" w:lineRule="auto"/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</w:p>
    <w:p w:rsidR="006059B0" w:rsidRPr="006059B0" w:rsidRDefault="006059B0" w:rsidP="006059B0">
      <w:pPr>
        <w:pStyle w:val="BodyText2"/>
        <w:spacing w:after="0" w:line="240" w:lineRule="auto"/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  <w:r w:rsidRPr="006059B0">
        <w:rPr>
          <w:rFonts w:ascii="Museo Sans 300" w:hAnsi="Museo Sans 300"/>
          <w:sz w:val="22"/>
          <w:szCs w:val="22"/>
          <w:lang w:val="es-MX"/>
        </w:rPr>
        <w:t>INDES: Fortalecimiento Institucional para el desarrollo de los Juegos Centroamericanos y del Caribe San Salvador 2023.</w:t>
      </w:r>
    </w:p>
    <w:p w:rsidR="006059B0" w:rsidRPr="006059B0" w:rsidRDefault="006059B0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121393" w:rsidRPr="00CD1FD1" w:rsidRDefault="00AA7D08" w:rsidP="00033BDB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46" w:name="_Toc505951457"/>
      <w:bookmarkStart w:id="47" w:name="_Toc56581213"/>
      <w:bookmarkStart w:id="48" w:name="_Toc116389139"/>
      <w:r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>Deuda del SPNF</w:t>
      </w:r>
      <w:bookmarkEnd w:id="46"/>
      <w:bookmarkEnd w:id="47"/>
      <w:bookmarkEnd w:id="48"/>
      <w:r w:rsidR="00121393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:rsidR="00442DE5" w:rsidRPr="0012688D" w:rsidRDefault="00442DE5" w:rsidP="00442DE5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:rsidR="00092055" w:rsidRPr="00CD1FD1" w:rsidRDefault="0009205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49" w:name="_Hlk121213031"/>
      <w:r w:rsidRPr="00D0014B">
        <w:rPr>
          <w:rFonts w:ascii="Museo Sans 300" w:hAnsi="Museo Sans 300"/>
          <w:sz w:val="22"/>
          <w:szCs w:val="22"/>
          <w:lang w:val="es-MX"/>
        </w:rPr>
        <w:t xml:space="preserve">La deuda del SPNF sin incluir pensiones al mes de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06124F" w:rsidRPr="00D0014B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42C94" w:rsidRPr="00D0014B">
        <w:rPr>
          <w:rFonts w:ascii="Museo Sans 300" w:hAnsi="Museo Sans 300"/>
          <w:sz w:val="22"/>
          <w:szCs w:val="22"/>
          <w:lang w:val="es-MX"/>
        </w:rPr>
        <w:t>20</w:t>
      </w:r>
      <w:r w:rsidR="00420EE2" w:rsidRPr="00D0014B">
        <w:rPr>
          <w:rFonts w:ascii="Museo Sans 300" w:hAnsi="Museo Sans 300"/>
          <w:sz w:val="22"/>
          <w:szCs w:val="22"/>
          <w:lang w:val="es-MX"/>
        </w:rPr>
        <w:t>2</w:t>
      </w:r>
      <w:r w:rsidR="00785F6B">
        <w:rPr>
          <w:rFonts w:ascii="Museo Sans 300" w:hAnsi="Museo Sans 300"/>
          <w:sz w:val="22"/>
          <w:szCs w:val="22"/>
          <w:lang w:val="es-MX"/>
        </w:rPr>
        <w:t>2</w:t>
      </w:r>
      <w:r w:rsidR="0006124F" w:rsidRPr="00D0014B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0014B">
        <w:rPr>
          <w:rFonts w:ascii="Museo Sans 300" w:hAnsi="Museo Sans 300"/>
          <w:sz w:val="22"/>
          <w:szCs w:val="22"/>
          <w:lang w:val="es-MX"/>
        </w:rPr>
        <w:t>ascendió a $</w:t>
      </w:r>
      <w:r w:rsidR="00EE128F" w:rsidRPr="00D0014B">
        <w:rPr>
          <w:rFonts w:ascii="Museo Sans 300" w:hAnsi="Museo Sans 300"/>
          <w:sz w:val="22"/>
          <w:szCs w:val="22"/>
          <w:lang w:val="es-MX"/>
        </w:rPr>
        <w:t>1</w:t>
      </w:r>
      <w:r w:rsidR="008758FC" w:rsidRPr="00D0014B">
        <w:rPr>
          <w:rFonts w:ascii="Museo Sans 300" w:hAnsi="Museo Sans 300"/>
          <w:sz w:val="22"/>
          <w:szCs w:val="22"/>
          <w:lang w:val="es-MX"/>
        </w:rPr>
        <w:t>7,</w:t>
      </w:r>
      <w:r w:rsidR="00FA0A11">
        <w:rPr>
          <w:rFonts w:ascii="Museo Sans 300" w:hAnsi="Museo Sans 300"/>
          <w:sz w:val="22"/>
          <w:szCs w:val="22"/>
          <w:lang w:val="es-MX"/>
        </w:rPr>
        <w:t>693.8</w:t>
      </w:r>
      <w:r w:rsidRPr="00D0014B">
        <w:rPr>
          <w:rFonts w:ascii="Museo Sans 300" w:hAnsi="Museo Sans 300"/>
          <w:sz w:val="22"/>
          <w:szCs w:val="22"/>
          <w:lang w:val="es-MX"/>
        </w:rPr>
        <w:t xml:space="preserve"> millones, equivalentes a </w:t>
      </w:r>
      <w:r w:rsidR="008758FC" w:rsidRPr="00D0014B">
        <w:rPr>
          <w:rFonts w:ascii="Museo Sans 300" w:hAnsi="Museo Sans 300"/>
          <w:sz w:val="22"/>
          <w:szCs w:val="22"/>
          <w:lang w:val="es-MX"/>
        </w:rPr>
        <w:t>5</w:t>
      </w:r>
      <w:r w:rsidR="00FA0A11">
        <w:rPr>
          <w:rFonts w:ascii="Museo Sans 300" w:hAnsi="Museo Sans 300"/>
          <w:sz w:val="22"/>
          <w:szCs w:val="22"/>
          <w:lang w:val="es-MX"/>
        </w:rPr>
        <w:t>5.6</w:t>
      </w:r>
      <w:r w:rsidR="00EE128F" w:rsidRPr="00D0014B">
        <w:rPr>
          <w:rFonts w:ascii="Museo Sans 300" w:hAnsi="Museo Sans 300"/>
          <w:sz w:val="22"/>
          <w:szCs w:val="22"/>
          <w:lang w:val="es-MX"/>
        </w:rPr>
        <w:t>%</w:t>
      </w:r>
      <w:r w:rsidRPr="00D0014B">
        <w:rPr>
          <w:rFonts w:ascii="Museo Sans 300" w:hAnsi="Museo Sans 300"/>
          <w:sz w:val="22"/>
          <w:szCs w:val="22"/>
          <w:lang w:val="es-MX"/>
        </w:rPr>
        <w:t xml:space="preserve"> del PIB. Dicho saldo está compuesto por $</w:t>
      </w:r>
      <w:r w:rsidR="00634117" w:rsidRPr="00D0014B">
        <w:rPr>
          <w:rFonts w:ascii="Museo Sans 300" w:hAnsi="Museo Sans 300"/>
          <w:sz w:val="22"/>
          <w:szCs w:val="22"/>
          <w:lang w:val="es-MX"/>
        </w:rPr>
        <w:t>1</w:t>
      </w:r>
      <w:r w:rsidR="00FA0A11">
        <w:rPr>
          <w:rFonts w:ascii="Museo Sans 300" w:hAnsi="Museo Sans 300"/>
          <w:sz w:val="22"/>
          <w:szCs w:val="22"/>
          <w:lang w:val="es-MX"/>
        </w:rPr>
        <w:t>0</w:t>
      </w:r>
      <w:r w:rsidR="00C960C9">
        <w:rPr>
          <w:rFonts w:ascii="Museo Sans 300" w:hAnsi="Museo Sans 300"/>
          <w:sz w:val="22"/>
          <w:szCs w:val="22"/>
          <w:lang w:val="es-MX"/>
        </w:rPr>
        <w:t>,</w:t>
      </w:r>
      <w:r w:rsidR="00FA0A11">
        <w:rPr>
          <w:rFonts w:ascii="Museo Sans 300" w:hAnsi="Museo Sans 300"/>
          <w:sz w:val="22"/>
          <w:szCs w:val="22"/>
          <w:lang w:val="es-MX"/>
        </w:rPr>
        <w:t>962.8</w:t>
      </w:r>
      <w:r w:rsidR="00600F2E" w:rsidRPr="00D0014B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0014B">
        <w:rPr>
          <w:rFonts w:ascii="Museo Sans 300" w:hAnsi="Museo Sans 300"/>
          <w:sz w:val="22"/>
          <w:szCs w:val="22"/>
          <w:lang w:val="es-MX"/>
        </w:rPr>
        <w:t>millones que corresponden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a deuda externa, equivale</w:t>
      </w:r>
      <w:r w:rsidR="002A147C" w:rsidRPr="00CD1FD1">
        <w:rPr>
          <w:rFonts w:ascii="Museo Sans 300" w:hAnsi="Museo Sans 300"/>
          <w:sz w:val="22"/>
          <w:szCs w:val="22"/>
          <w:lang w:val="es-MX"/>
        </w:rPr>
        <w:t>nte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a 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3</w:t>
      </w:r>
      <w:r w:rsidR="00FA0A11">
        <w:rPr>
          <w:rFonts w:ascii="Museo Sans 300" w:hAnsi="Museo Sans 300"/>
          <w:sz w:val="22"/>
          <w:szCs w:val="22"/>
          <w:lang w:val="es-MX"/>
        </w:rPr>
        <w:t>4.5</w:t>
      </w:r>
      <w:r w:rsidRPr="00CD1FD1">
        <w:rPr>
          <w:rFonts w:ascii="Museo Sans 300" w:hAnsi="Museo Sans 300"/>
          <w:sz w:val="22"/>
          <w:szCs w:val="22"/>
          <w:lang w:val="es-MX"/>
        </w:rPr>
        <w:t>% del PIB y $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6,</w:t>
      </w:r>
      <w:r w:rsidR="00FA0A11">
        <w:rPr>
          <w:rFonts w:ascii="Museo Sans 300" w:hAnsi="Museo Sans 300"/>
          <w:sz w:val="22"/>
          <w:szCs w:val="22"/>
          <w:lang w:val="es-MX"/>
        </w:rPr>
        <w:t>730.9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correspondientes a deuda interna, representando el </w:t>
      </w:r>
      <w:r w:rsidR="00634117" w:rsidRPr="00CD1FD1">
        <w:rPr>
          <w:rFonts w:ascii="Museo Sans 300" w:hAnsi="Museo Sans 300"/>
          <w:sz w:val="22"/>
          <w:szCs w:val="22"/>
          <w:lang w:val="es-MX"/>
        </w:rPr>
        <w:t>2</w:t>
      </w:r>
      <w:r w:rsidR="00FA0A11">
        <w:rPr>
          <w:rFonts w:ascii="Museo Sans 300" w:hAnsi="Museo Sans 300"/>
          <w:sz w:val="22"/>
          <w:szCs w:val="22"/>
          <w:lang w:val="es-MX"/>
        </w:rPr>
        <w:t>1.2</w:t>
      </w:r>
      <w:r w:rsidRPr="00CD1FD1">
        <w:rPr>
          <w:rFonts w:ascii="Museo Sans 300" w:hAnsi="Museo Sans 300"/>
          <w:sz w:val="22"/>
          <w:szCs w:val="22"/>
          <w:lang w:val="es-MX"/>
        </w:rPr>
        <w:t>% del PIB.</w:t>
      </w:r>
    </w:p>
    <w:p w:rsidR="00092055" w:rsidRPr="00CD1FD1" w:rsidRDefault="0009205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13B06" w:rsidRPr="00CD1FD1" w:rsidRDefault="006D364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Al incluir las emisiones del FOP (CIP serie A), por $</w:t>
      </w:r>
      <w:r w:rsidR="00FA0A11">
        <w:rPr>
          <w:rFonts w:ascii="Museo Sans 300" w:hAnsi="Museo Sans 300"/>
          <w:sz w:val="22"/>
          <w:szCs w:val="22"/>
          <w:lang w:val="es-MX"/>
        </w:rPr>
        <w:t>6,006.2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</w:t>
      </w:r>
      <w:r w:rsidR="00092055" w:rsidRPr="00CD1FD1">
        <w:rPr>
          <w:rFonts w:ascii="Museo Sans 300" w:hAnsi="Museo Sans 300"/>
          <w:sz w:val="22"/>
          <w:szCs w:val="22"/>
          <w:lang w:val="es-MX"/>
        </w:rPr>
        <w:t xml:space="preserve">el cual representa un 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1</w:t>
      </w:r>
      <w:r w:rsidR="00FA0A11">
        <w:rPr>
          <w:rFonts w:ascii="Museo Sans 300" w:hAnsi="Museo Sans 300"/>
          <w:sz w:val="22"/>
          <w:szCs w:val="22"/>
          <w:lang w:val="es-MX"/>
        </w:rPr>
        <w:t>8.9</w:t>
      </w:r>
      <w:r w:rsidR="00092055" w:rsidRPr="00CD1FD1">
        <w:rPr>
          <w:rFonts w:ascii="Museo Sans 300" w:hAnsi="Museo Sans 300"/>
          <w:sz w:val="22"/>
          <w:szCs w:val="22"/>
          <w:lang w:val="es-MX"/>
        </w:rPr>
        <w:t xml:space="preserve">% del PIB, </w:t>
      </w:r>
      <w:r w:rsidRPr="00CD1FD1">
        <w:rPr>
          <w:rFonts w:ascii="Museo Sans 300" w:hAnsi="Museo Sans 300"/>
          <w:sz w:val="22"/>
          <w:szCs w:val="22"/>
          <w:lang w:val="es-MX"/>
        </w:rPr>
        <w:t>la deuda ascendió a $</w:t>
      </w:r>
      <w:r w:rsidR="00BF1AE8" w:rsidRPr="00CD1FD1">
        <w:rPr>
          <w:rFonts w:ascii="Museo Sans 300" w:hAnsi="Museo Sans 300"/>
          <w:sz w:val="22"/>
          <w:szCs w:val="22"/>
          <w:lang w:val="es-MX"/>
        </w:rPr>
        <w:t>2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3,</w:t>
      </w:r>
      <w:r w:rsidR="00FA0A11">
        <w:rPr>
          <w:rFonts w:ascii="Museo Sans 300" w:hAnsi="Museo Sans 300"/>
          <w:sz w:val="22"/>
          <w:szCs w:val="22"/>
          <w:lang w:val="es-MX"/>
        </w:rPr>
        <w:t>700.0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con un aumento de </w:t>
      </w:r>
      <w:r w:rsidRPr="005F6341">
        <w:rPr>
          <w:rFonts w:ascii="Museo Sans 300" w:hAnsi="Museo Sans 300"/>
          <w:sz w:val="22"/>
          <w:szCs w:val="22"/>
          <w:lang w:val="es-MX"/>
        </w:rPr>
        <w:t>$</w:t>
      </w:r>
      <w:r w:rsidR="00C15348" w:rsidRPr="005F6341">
        <w:rPr>
          <w:rFonts w:ascii="Museo Sans 300" w:hAnsi="Museo Sans 300"/>
          <w:sz w:val="22"/>
          <w:szCs w:val="22"/>
          <w:lang w:val="es-MX"/>
        </w:rPr>
        <w:t>1,</w:t>
      </w:r>
      <w:r w:rsidR="008A7679" w:rsidRPr="005F6341">
        <w:rPr>
          <w:rFonts w:ascii="Museo Sans 300" w:hAnsi="Museo Sans 300"/>
          <w:sz w:val="22"/>
          <w:szCs w:val="22"/>
          <w:lang w:val="es-MX"/>
        </w:rPr>
        <w:t>1</w:t>
      </w:r>
      <w:r w:rsidR="00FA0A11" w:rsidRPr="005F6341">
        <w:rPr>
          <w:rFonts w:ascii="Museo Sans 300" w:hAnsi="Museo Sans 300"/>
          <w:sz w:val="22"/>
          <w:szCs w:val="22"/>
          <w:lang w:val="es-MX"/>
        </w:rPr>
        <w:t>0</w:t>
      </w:r>
      <w:r w:rsidR="00D579E5" w:rsidRPr="005F6341">
        <w:rPr>
          <w:rFonts w:ascii="Museo Sans 300" w:hAnsi="Museo Sans 300"/>
          <w:sz w:val="22"/>
          <w:szCs w:val="22"/>
          <w:lang w:val="es-MX"/>
        </w:rPr>
        <w:t>7.0</w:t>
      </w:r>
      <w:r w:rsidRPr="005F634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 </w:t>
      </w:r>
      <w:r w:rsidRPr="0045512F">
        <w:rPr>
          <w:rFonts w:ascii="Museo Sans 300" w:hAnsi="Museo Sans 300"/>
          <w:sz w:val="22"/>
          <w:szCs w:val="22"/>
          <w:lang w:val="es-MX"/>
        </w:rPr>
        <w:t>(</w:t>
      </w:r>
      <w:r w:rsidR="0045512F" w:rsidRPr="0045512F">
        <w:rPr>
          <w:rFonts w:ascii="Museo Sans 300" w:hAnsi="Museo Sans 300"/>
          <w:sz w:val="22"/>
          <w:szCs w:val="22"/>
          <w:lang w:val="es-MX"/>
        </w:rPr>
        <w:t>4.9</w:t>
      </w:r>
      <w:r w:rsidRPr="0045512F">
        <w:rPr>
          <w:rFonts w:ascii="Museo Sans 300" w:hAnsi="Museo Sans 300"/>
          <w:sz w:val="22"/>
          <w:szCs w:val="22"/>
          <w:lang w:val="es-MX"/>
        </w:rPr>
        <w:t xml:space="preserve">%) respecto al saldo registrado en </w:t>
      </w:r>
      <w:r w:rsidR="006E1D43" w:rsidRPr="0045512F">
        <w:rPr>
          <w:rFonts w:ascii="Museo Sans 300" w:hAnsi="Museo Sans 300"/>
          <w:sz w:val="22"/>
          <w:szCs w:val="22"/>
          <w:lang w:val="es-MX"/>
        </w:rPr>
        <w:t>septiembre</w:t>
      </w:r>
      <w:r w:rsidRPr="0045512F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45512F">
        <w:rPr>
          <w:rFonts w:ascii="Museo Sans 300" w:hAnsi="Museo Sans 300"/>
          <w:sz w:val="22"/>
          <w:szCs w:val="22"/>
          <w:lang w:val="es-MX"/>
        </w:rPr>
        <w:t>2021</w:t>
      </w:r>
      <w:r w:rsidR="00BE517D" w:rsidRPr="0045512F">
        <w:rPr>
          <w:rFonts w:ascii="Museo Sans 300" w:hAnsi="Museo Sans 300"/>
          <w:sz w:val="22"/>
          <w:szCs w:val="22"/>
          <w:lang w:val="es-MX"/>
        </w:rPr>
        <w:t xml:space="preserve">,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En términos del PIB, la deuda llegó al 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7</w:t>
      </w:r>
      <w:r w:rsidR="00FA0A11">
        <w:rPr>
          <w:rFonts w:ascii="Museo Sans 300" w:hAnsi="Museo Sans 300"/>
          <w:sz w:val="22"/>
          <w:szCs w:val="22"/>
          <w:lang w:val="es-MX"/>
        </w:rPr>
        <w:t>4.5</w:t>
      </w:r>
      <w:r w:rsidR="00781123" w:rsidRPr="00CD1FD1">
        <w:rPr>
          <w:rFonts w:ascii="Museo Sans 300" w:hAnsi="Museo Sans 300"/>
          <w:sz w:val="22"/>
          <w:szCs w:val="22"/>
          <w:lang w:val="es-MX"/>
        </w:rPr>
        <w:t>%,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A7679" w:rsidRPr="0045512F">
        <w:rPr>
          <w:rFonts w:ascii="Museo Sans 300" w:hAnsi="Museo Sans 300"/>
          <w:sz w:val="22"/>
          <w:szCs w:val="22"/>
          <w:lang w:val="es-MX"/>
        </w:rPr>
        <w:t>inferior</w:t>
      </w:r>
      <w:r w:rsidR="00F667C7" w:rsidRPr="0045512F">
        <w:rPr>
          <w:rFonts w:ascii="Museo Sans 300" w:hAnsi="Museo Sans 300"/>
          <w:sz w:val="22"/>
          <w:szCs w:val="22"/>
          <w:lang w:val="es-MX"/>
        </w:rPr>
        <w:t xml:space="preserve"> en </w:t>
      </w:r>
      <w:r w:rsidR="0045512F" w:rsidRPr="0045512F">
        <w:rPr>
          <w:rFonts w:ascii="Museo Sans 300" w:hAnsi="Museo Sans 300"/>
          <w:sz w:val="22"/>
          <w:szCs w:val="22"/>
          <w:lang w:val="es-MX"/>
        </w:rPr>
        <w:t>4.1</w:t>
      </w:r>
      <w:r w:rsidR="00BC0CD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>punto</w:t>
      </w:r>
      <w:r w:rsidR="00BC0CDC" w:rsidRPr="00CD1FD1">
        <w:rPr>
          <w:rFonts w:ascii="Museo Sans 300" w:hAnsi="Museo Sans 300"/>
          <w:sz w:val="22"/>
          <w:szCs w:val="22"/>
          <w:lang w:val="es-MX"/>
        </w:rPr>
        <w:t>s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 xml:space="preserve"> porcentual</w:t>
      </w:r>
      <w:r w:rsidR="00BF1AE8" w:rsidRPr="00CD1FD1">
        <w:rPr>
          <w:rFonts w:ascii="Museo Sans 300" w:hAnsi="Museo Sans 300"/>
          <w:sz w:val="22"/>
          <w:szCs w:val="22"/>
          <w:lang w:val="es-MX"/>
        </w:rPr>
        <w:t>es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A0964" w:rsidRPr="00CD1FD1">
        <w:rPr>
          <w:rFonts w:ascii="Museo Sans 300" w:hAnsi="Museo Sans 300"/>
          <w:sz w:val="22"/>
          <w:szCs w:val="22"/>
          <w:lang w:val="es-MX"/>
        </w:rPr>
        <w:t>con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respecto al nivel registrado </w:t>
      </w:r>
      <w:r w:rsidR="005A54D2" w:rsidRPr="00CD1FD1">
        <w:rPr>
          <w:rFonts w:ascii="Museo Sans 300" w:hAnsi="Museo Sans 300"/>
          <w:sz w:val="22"/>
          <w:szCs w:val="22"/>
          <w:lang w:val="es-MX"/>
        </w:rPr>
        <w:t xml:space="preserve">al </w:t>
      </w:r>
      <w:r w:rsidR="002A0964" w:rsidRPr="00CD1FD1">
        <w:rPr>
          <w:rFonts w:ascii="Museo Sans 300" w:hAnsi="Museo Sans 300"/>
          <w:sz w:val="22"/>
          <w:szCs w:val="22"/>
          <w:lang w:val="es-MX"/>
        </w:rPr>
        <w:t xml:space="preserve">mismo período </w:t>
      </w:r>
      <w:r w:rsidR="005A54D2" w:rsidRPr="00CD1FD1">
        <w:rPr>
          <w:rFonts w:ascii="Museo Sans 300" w:hAnsi="Museo Sans 300"/>
          <w:sz w:val="22"/>
          <w:szCs w:val="22"/>
          <w:lang w:val="es-MX"/>
        </w:rPr>
        <w:t>de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067A82" w:rsidRPr="00CD1FD1">
        <w:rPr>
          <w:rFonts w:ascii="Museo Sans 300" w:hAnsi="Museo Sans 300"/>
          <w:sz w:val="22"/>
          <w:szCs w:val="22"/>
          <w:lang w:val="es-MX"/>
        </w:rPr>
        <w:t>.</w:t>
      </w:r>
      <w:r w:rsidR="00170BAE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1A0A78" w:rsidRPr="0012688D" w:rsidRDefault="001A0A78" w:rsidP="001A0A78">
      <w:pPr>
        <w:jc w:val="center"/>
        <w:rPr>
          <w:rFonts w:ascii="Museo Sans 300" w:hAnsi="Museo Sans 300"/>
          <w:sz w:val="16"/>
          <w:szCs w:val="16"/>
          <w:highlight w:val="yellow"/>
          <w:lang w:val="es-MX"/>
        </w:rPr>
      </w:pPr>
    </w:p>
    <w:bookmarkEnd w:id="49"/>
    <w:p w:rsidR="00FC59E9" w:rsidRDefault="00FC59E9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FC59E9" w:rsidRDefault="00FC59E9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579E5" w:rsidRDefault="00D579E5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576D7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E66ABF" w:rsidRDefault="00E66ABF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E66ABF" w:rsidRDefault="00E66ABF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0A6A22" w:rsidRDefault="000A6A22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FC59E9" w:rsidRDefault="00FC59E9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A0A78" w:rsidRDefault="001A0A78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12688D">
        <w:rPr>
          <w:rFonts w:ascii="Museo Sans 300" w:hAnsi="Museo Sans 300"/>
          <w:sz w:val="22"/>
          <w:szCs w:val="22"/>
          <w:lang w:val="es-MX"/>
        </w:rPr>
        <w:lastRenderedPageBreak/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8</w:t>
      </w:r>
      <w:r w:rsidRPr="0012688D">
        <w:rPr>
          <w:rFonts w:ascii="Museo Sans 300" w:hAnsi="Museo Sans 300"/>
          <w:sz w:val="22"/>
          <w:szCs w:val="22"/>
          <w:lang w:val="es-MX"/>
        </w:rPr>
        <w:t xml:space="preserve">: Saldo de la Deuda con pensiones del SPNF 2014 –2021 y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Pr="0012688D">
        <w:rPr>
          <w:rFonts w:ascii="Museo Sans 300" w:hAnsi="Museo Sans 300"/>
          <w:sz w:val="22"/>
          <w:szCs w:val="22"/>
          <w:lang w:val="es-MX"/>
        </w:rPr>
        <w:t xml:space="preserve"> 2022</w:t>
      </w:r>
    </w:p>
    <w:p w:rsidR="0012688D" w:rsidRPr="0012688D" w:rsidRDefault="0012688D" w:rsidP="001A0A78">
      <w:pPr>
        <w:jc w:val="center"/>
        <w:rPr>
          <w:rFonts w:ascii="Museo Sans 300" w:hAnsi="Museo Sans 300"/>
          <w:sz w:val="16"/>
          <w:szCs w:val="16"/>
          <w:lang w:val="es-MX"/>
        </w:rPr>
      </w:pPr>
    </w:p>
    <w:p w:rsidR="001A0A78" w:rsidRPr="00CD1FD1" w:rsidRDefault="007562A8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7562A8">
        <w:rPr>
          <w:noProof/>
        </w:rPr>
        <w:drawing>
          <wp:inline distT="0" distB="0" distL="0" distR="0" wp14:anchorId="3F8DE583" wp14:editId="41AAA310">
            <wp:extent cx="5041645" cy="3021620"/>
            <wp:effectExtent l="0" t="0" r="6985" b="762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241" cy="303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78" w:rsidRPr="00CD1FD1" w:rsidRDefault="001A0A7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17D" w:rsidRPr="00CD1FD1" w:rsidRDefault="00BE517D" w:rsidP="00BE517D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bookmarkStart w:id="50" w:name="_Toc56581214"/>
      <w:bookmarkStart w:id="51" w:name="_Toc116389140"/>
      <w:r w:rsidRPr="00CD1FD1">
        <w:rPr>
          <w:rFonts w:ascii="Museo Sans 300" w:hAnsi="Museo Sans 300"/>
          <w:b/>
          <w:sz w:val="22"/>
          <w:szCs w:val="22"/>
          <w:lang w:val="es-MX"/>
        </w:rPr>
        <w:t>3.1 Deuda Interna</w:t>
      </w:r>
      <w:bookmarkEnd w:id="50"/>
      <w:bookmarkEnd w:id="51"/>
    </w:p>
    <w:p w:rsidR="00BE517D" w:rsidRPr="00CD1FD1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17D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El Saldo de la deuda interna alcanzó un monto de $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6,</w:t>
      </w:r>
      <w:r w:rsidR="00FA0A11">
        <w:rPr>
          <w:rFonts w:ascii="Museo Sans 300" w:hAnsi="Museo Sans 300"/>
          <w:sz w:val="22"/>
          <w:szCs w:val="22"/>
          <w:lang w:val="es-MX"/>
        </w:rPr>
        <w:t>730.9</w:t>
      </w:r>
      <w:r w:rsidR="00194FEF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millones equivalente a 2</w:t>
      </w:r>
      <w:r w:rsidR="00FA0A11">
        <w:rPr>
          <w:rFonts w:ascii="Museo Sans 300" w:hAnsi="Museo Sans 300"/>
          <w:sz w:val="22"/>
          <w:szCs w:val="22"/>
          <w:lang w:val="es-MX"/>
        </w:rPr>
        <w:t>1.2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del PIB. Al incorporar el saldo del Fideicomisos de Obligaciones Previsionales, (FOP) </w:t>
      </w:r>
      <w:r w:rsidR="00194FEF" w:rsidRPr="00CD1FD1">
        <w:rPr>
          <w:rFonts w:ascii="Museo Sans 300" w:hAnsi="Museo Sans 300"/>
          <w:sz w:val="22"/>
          <w:szCs w:val="22"/>
          <w:lang w:val="es-MX"/>
        </w:rPr>
        <w:t>este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asciende </w:t>
      </w:r>
      <w:r w:rsidRPr="00E8176A">
        <w:rPr>
          <w:rFonts w:ascii="Museo Sans 300" w:hAnsi="Museo Sans 300"/>
          <w:sz w:val="22"/>
          <w:szCs w:val="22"/>
          <w:lang w:val="es-MX"/>
        </w:rPr>
        <w:t>a $1</w:t>
      </w:r>
      <w:r w:rsidR="00C15348" w:rsidRPr="00E8176A">
        <w:rPr>
          <w:rFonts w:ascii="Museo Sans 300" w:hAnsi="Museo Sans 300"/>
          <w:sz w:val="22"/>
          <w:szCs w:val="22"/>
          <w:lang w:val="es-MX"/>
        </w:rPr>
        <w:t>2,</w:t>
      </w:r>
      <w:r w:rsidR="0045512F" w:rsidRPr="00E8176A">
        <w:rPr>
          <w:rFonts w:ascii="Museo Sans 300" w:hAnsi="Museo Sans 300"/>
          <w:sz w:val="22"/>
          <w:szCs w:val="22"/>
          <w:lang w:val="es-MX"/>
        </w:rPr>
        <w:t>737.1</w:t>
      </w:r>
      <w:r w:rsidRPr="00E8176A">
        <w:rPr>
          <w:rFonts w:ascii="Museo Sans 300" w:hAnsi="Museo Sans 300"/>
          <w:sz w:val="22"/>
          <w:szCs w:val="22"/>
          <w:lang w:val="es-MX"/>
        </w:rPr>
        <w:t xml:space="preserve"> millones superior en $</w:t>
      </w:r>
      <w:r w:rsidR="0045512F" w:rsidRPr="00E8176A">
        <w:rPr>
          <w:rFonts w:ascii="Museo Sans 300" w:hAnsi="Museo Sans 300"/>
          <w:sz w:val="22"/>
          <w:szCs w:val="22"/>
          <w:lang w:val="es-MX"/>
        </w:rPr>
        <w:t>1,283.7</w:t>
      </w:r>
      <w:r w:rsidRPr="00E8176A">
        <w:rPr>
          <w:rFonts w:ascii="Museo Sans 300" w:hAnsi="Museo Sans 300"/>
          <w:sz w:val="22"/>
          <w:szCs w:val="22"/>
          <w:lang w:val="es-MX"/>
        </w:rPr>
        <w:t xml:space="preserve"> millones con respecto al nivel registrado en </w:t>
      </w:r>
      <w:r w:rsidR="00581B7E" w:rsidRPr="00E8176A">
        <w:rPr>
          <w:rFonts w:ascii="Museo Sans 300" w:hAnsi="Museo Sans 300"/>
          <w:sz w:val="22"/>
          <w:szCs w:val="22"/>
          <w:lang w:val="es-MX"/>
        </w:rPr>
        <w:t>2021</w:t>
      </w:r>
      <w:r w:rsidR="000A6A22" w:rsidRPr="00E8176A">
        <w:rPr>
          <w:rFonts w:ascii="Museo Sans 300" w:hAnsi="Museo Sans 300"/>
          <w:sz w:val="22"/>
          <w:szCs w:val="22"/>
          <w:lang w:val="es-MX"/>
        </w:rPr>
        <w:t>.</w:t>
      </w:r>
    </w:p>
    <w:p w:rsidR="000A6A22" w:rsidRPr="00CD1FD1" w:rsidRDefault="000A6A22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17D" w:rsidRPr="00CD1FD1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En su composición el saldo de la deuda interna está integrado principalmente por: deuda del BCR por $</w:t>
      </w:r>
      <w:r w:rsidR="00FA0A11">
        <w:rPr>
          <w:rFonts w:ascii="Museo Sans 300" w:hAnsi="Museo Sans 300"/>
          <w:sz w:val="22"/>
          <w:szCs w:val="22"/>
          <w:lang w:val="es-MX"/>
        </w:rPr>
        <w:t>1,055.1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millones; Certificados Previsionales del FOP por $</w:t>
      </w:r>
      <w:r w:rsidR="00FA0A11">
        <w:rPr>
          <w:rFonts w:ascii="Museo Sans 300" w:hAnsi="Museo Sans 300"/>
          <w:sz w:val="22"/>
          <w:szCs w:val="22"/>
          <w:lang w:val="es-MX"/>
        </w:rPr>
        <w:t>6,006.2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millones; bonos emitidos en el mercado nacional y eurobonos en poder de residentes por </w:t>
      </w:r>
      <w:r w:rsidRPr="00E8176A">
        <w:rPr>
          <w:rFonts w:ascii="Museo Sans 300" w:hAnsi="Museo Sans 300"/>
          <w:sz w:val="22"/>
          <w:szCs w:val="22"/>
          <w:lang w:val="es-MX"/>
        </w:rPr>
        <w:t>$</w:t>
      </w:r>
      <w:r w:rsidR="00933944" w:rsidRPr="00E8176A">
        <w:rPr>
          <w:rFonts w:ascii="Museo Sans 300" w:hAnsi="Museo Sans 300"/>
          <w:sz w:val="22"/>
          <w:szCs w:val="22"/>
          <w:lang w:val="es-MX"/>
        </w:rPr>
        <w:t>3,</w:t>
      </w:r>
      <w:r w:rsidR="00E8176A" w:rsidRPr="00E8176A">
        <w:rPr>
          <w:rFonts w:ascii="Museo Sans 300" w:hAnsi="Museo Sans 300"/>
          <w:sz w:val="22"/>
          <w:szCs w:val="22"/>
          <w:lang w:val="es-MX"/>
        </w:rPr>
        <w:t>081.4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millones; deuda de corto plazo (LETES) por $1,</w:t>
      </w:r>
      <w:r w:rsidR="00933944">
        <w:rPr>
          <w:rFonts w:ascii="Museo Sans 300" w:hAnsi="Museo Sans 300"/>
          <w:sz w:val="22"/>
          <w:szCs w:val="22"/>
          <w:lang w:val="es-MX"/>
        </w:rPr>
        <w:t>0</w:t>
      </w:r>
      <w:r w:rsidR="00FA0A11">
        <w:rPr>
          <w:rFonts w:ascii="Museo Sans 300" w:hAnsi="Museo Sans 300"/>
          <w:sz w:val="22"/>
          <w:szCs w:val="22"/>
          <w:lang w:val="es-MX"/>
        </w:rPr>
        <w:t>82.7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A41536" w:rsidRPr="00CD1FD1">
        <w:rPr>
          <w:rFonts w:ascii="Museo Sans 300" w:hAnsi="Museo Sans 300"/>
          <w:sz w:val="22"/>
          <w:szCs w:val="22"/>
          <w:lang w:val="es-MX"/>
        </w:rPr>
        <w:t>;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CETES por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1,</w:t>
      </w:r>
      <w:r w:rsidR="00FA0A11">
        <w:rPr>
          <w:rFonts w:ascii="Museo Sans 300" w:hAnsi="Museo Sans 300"/>
          <w:sz w:val="22"/>
          <w:szCs w:val="22"/>
          <w:lang w:val="es-MX"/>
        </w:rPr>
        <w:t>453.7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y otros por </w:t>
      </w:r>
      <w:r w:rsidRPr="008A6373">
        <w:rPr>
          <w:rFonts w:ascii="Museo Sans 300" w:hAnsi="Museo Sans 300"/>
          <w:sz w:val="22"/>
          <w:szCs w:val="22"/>
          <w:lang w:val="es-MX"/>
        </w:rPr>
        <w:t>$</w:t>
      </w:r>
      <w:r w:rsidR="005B16EB">
        <w:rPr>
          <w:rFonts w:ascii="Museo Sans 300" w:hAnsi="Museo Sans 300"/>
          <w:sz w:val="22"/>
          <w:szCs w:val="22"/>
          <w:lang w:val="es-MX"/>
        </w:rPr>
        <w:t>58.0</w:t>
      </w:r>
      <w:r w:rsidRPr="008A6373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Pr="00A17660">
        <w:rPr>
          <w:rFonts w:ascii="Museo Sans 300" w:hAnsi="Museo Sans 300"/>
          <w:color w:val="FF0000"/>
          <w:sz w:val="22"/>
          <w:szCs w:val="22"/>
          <w:lang w:val="es-MX"/>
        </w:rPr>
        <w:t>.</w:t>
      </w:r>
      <w:r w:rsidR="004B7D62">
        <w:rPr>
          <w:rFonts w:ascii="Museo Sans 300" w:hAnsi="Museo Sans 300"/>
          <w:color w:val="FF0000"/>
          <w:sz w:val="22"/>
          <w:szCs w:val="22"/>
          <w:lang w:val="es-MX"/>
        </w:rPr>
        <w:t xml:space="preserve"> </w:t>
      </w:r>
    </w:p>
    <w:p w:rsidR="00774C28" w:rsidRPr="00CD1FD1" w:rsidRDefault="00774C2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42DE5" w:rsidRPr="00CD1FD1" w:rsidRDefault="00BD6252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52" w:name="_Toc56581215"/>
      <w:bookmarkStart w:id="53" w:name="_Toc116389141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.2 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>Deuda Externa.</w:t>
      </w:r>
      <w:bookmarkEnd w:id="52"/>
      <w:bookmarkEnd w:id="53"/>
    </w:p>
    <w:p w:rsidR="00442DE5" w:rsidRPr="00CD1FD1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42DE5" w:rsidRPr="00CD1FD1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Por su parte, la deuda externa </w:t>
      </w:r>
      <w:r w:rsidR="00D41F8B" w:rsidRPr="00CD1FD1">
        <w:rPr>
          <w:rFonts w:ascii="Museo Sans 300" w:hAnsi="Museo Sans 300"/>
          <w:sz w:val="22"/>
          <w:szCs w:val="22"/>
          <w:lang w:val="es-MX"/>
        </w:rPr>
        <w:t xml:space="preserve">total </w:t>
      </w:r>
      <w:r w:rsidRPr="00CD1FD1">
        <w:rPr>
          <w:rFonts w:ascii="Museo Sans 300" w:hAnsi="Museo Sans 300"/>
          <w:sz w:val="22"/>
          <w:szCs w:val="22"/>
          <w:lang w:val="es-MX"/>
        </w:rPr>
        <w:t>ascendió a $</w:t>
      </w:r>
      <w:r w:rsidR="00BC69B8" w:rsidRPr="00CD1FD1">
        <w:rPr>
          <w:rFonts w:ascii="Museo Sans 300" w:hAnsi="Museo Sans 300"/>
          <w:sz w:val="22"/>
          <w:szCs w:val="22"/>
          <w:lang w:val="es-MX"/>
        </w:rPr>
        <w:t>1</w:t>
      </w:r>
      <w:r w:rsidR="00F43CD0">
        <w:rPr>
          <w:rFonts w:ascii="Museo Sans 300" w:hAnsi="Museo Sans 300"/>
          <w:sz w:val="22"/>
          <w:szCs w:val="22"/>
          <w:lang w:val="es-MX"/>
        </w:rPr>
        <w:t>0</w:t>
      </w:r>
      <w:r w:rsidR="005B16EB">
        <w:rPr>
          <w:rFonts w:ascii="Museo Sans 300" w:hAnsi="Museo Sans 300"/>
          <w:sz w:val="22"/>
          <w:szCs w:val="22"/>
          <w:lang w:val="es-MX"/>
        </w:rPr>
        <w:t>,</w:t>
      </w:r>
      <w:r w:rsidR="00F43CD0">
        <w:rPr>
          <w:rFonts w:ascii="Museo Sans 300" w:hAnsi="Museo Sans 300"/>
          <w:sz w:val="22"/>
          <w:szCs w:val="22"/>
          <w:lang w:val="es-MX"/>
        </w:rPr>
        <w:t>962</w:t>
      </w:r>
      <w:r w:rsidR="00A02527">
        <w:rPr>
          <w:rFonts w:ascii="Museo Sans 300" w:hAnsi="Museo Sans 300"/>
          <w:sz w:val="22"/>
          <w:szCs w:val="22"/>
          <w:lang w:val="es-MX"/>
        </w:rPr>
        <w:t>.8</w:t>
      </w:r>
      <w:r w:rsidR="00481AC8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millones, representando el 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3</w:t>
      </w:r>
      <w:r w:rsidR="00A02527">
        <w:rPr>
          <w:rFonts w:ascii="Museo Sans 300" w:hAnsi="Museo Sans 300"/>
          <w:sz w:val="22"/>
          <w:szCs w:val="22"/>
          <w:lang w:val="es-MX"/>
        </w:rPr>
        <w:t>4.5</w:t>
      </w:r>
      <w:r w:rsidRPr="00CD1FD1">
        <w:rPr>
          <w:rFonts w:ascii="Museo Sans 300" w:hAnsi="Museo Sans 300"/>
          <w:sz w:val="22"/>
          <w:szCs w:val="22"/>
          <w:lang w:val="es-MX"/>
        </w:rPr>
        <w:t>% del PIB, resultando m</w:t>
      </w:r>
      <w:r w:rsidR="005B16EB">
        <w:rPr>
          <w:rFonts w:ascii="Museo Sans 300" w:hAnsi="Museo Sans 300"/>
          <w:sz w:val="22"/>
          <w:szCs w:val="22"/>
          <w:lang w:val="es-MX"/>
        </w:rPr>
        <w:t>enor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en $</w:t>
      </w:r>
      <w:r w:rsidR="005B16EB">
        <w:rPr>
          <w:rFonts w:ascii="Museo Sans 300" w:hAnsi="Museo Sans 300"/>
          <w:sz w:val="22"/>
          <w:szCs w:val="22"/>
          <w:lang w:val="es-MX"/>
        </w:rPr>
        <w:t>176.8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 millones, equivalentes a 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1.6</w:t>
      </w:r>
      <w:r w:rsidRPr="005B16EB">
        <w:rPr>
          <w:rFonts w:ascii="Museo Sans 300" w:hAnsi="Museo Sans 300"/>
          <w:sz w:val="22"/>
          <w:szCs w:val="22"/>
          <w:lang w:val="es-MX"/>
        </w:rPr>
        <w:t>% con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relación al saldo registrado </w:t>
      </w:r>
      <w:r w:rsidR="008C7079"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D41F8B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Pr="00CD1FD1">
        <w:rPr>
          <w:rFonts w:ascii="Museo Sans 300" w:hAnsi="Museo Sans 300"/>
          <w:sz w:val="22"/>
          <w:szCs w:val="22"/>
          <w:lang w:val="es-MX"/>
        </w:rPr>
        <w:t>. Con respecto a su composición, el saldo de la deuda externa está concentrado en las Instituciones multilaterales, con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5,</w:t>
      </w:r>
      <w:r w:rsidR="00A02527">
        <w:rPr>
          <w:rFonts w:ascii="Museo Sans 300" w:hAnsi="Museo Sans 300"/>
          <w:sz w:val="22"/>
          <w:szCs w:val="22"/>
          <w:lang w:val="es-MX"/>
        </w:rPr>
        <w:t>249.6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destacándose </w:t>
      </w:r>
      <w:r w:rsidRPr="005B16EB">
        <w:rPr>
          <w:rFonts w:ascii="Museo Sans 300" w:hAnsi="Museo Sans 300"/>
          <w:sz w:val="22"/>
          <w:szCs w:val="22"/>
          <w:lang w:val="es-MX"/>
        </w:rPr>
        <w:t>el BID, con $</w:t>
      </w:r>
      <w:r w:rsidR="00F32152" w:rsidRPr="005B16EB">
        <w:rPr>
          <w:rFonts w:ascii="Museo Sans 300" w:hAnsi="Museo Sans 300"/>
          <w:sz w:val="22"/>
          <w:szCs w:val="22"/>
          <w:lang w:val="es-MX"/>
        </w:rPr>
        <w:t>2,</w:t>
      </w:r>
      <w:r w:rsidR="004923BB" w:rsidRPr="005B16EB">
        <w:rPr>
          <w:rFonts w:ascii="Museo Sans 300" w:hAnsi="Museo Sans 300"/>
          <w:sz w:val="22"/>
          <w:szCs w:val="22"/>
          <w:lang w:val="es-MX"/>
        </w:rPr>
        <w:t>0</w:t>
      </w:r>
      <w:r w:rsidR="00E0630A" w:rsidRPr="005B16EB">
        <w:rPr>
          <w:rFonts w:ascii="Museo Sans 300" w:hAnsi="Museo Sans 300"/>
          <w:sz w:val="22"/>
          <w:szCs w:val="22"/>
          <w:lang w:val="es-MX"/>
        </w:rPr>
        <w:t>4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0.2</w:t>
      </w:r>
      <w:r w:rsidR="00EC41B4" w:rsidRPr="005B16EB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5B16EB">
        <w:rPr>
          <w:rFonts w:ascii="Museo Sans 300" w:hAnsi="Museo Sans 300"/>
          <w:sz w:val="22"/>
          <w:szCs w:val="22"/>
          <w:lang w:val="es-MX"/>
        </w:rPr>
        <w:t>millones; el BIRF, con $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870.3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 millones y el BCIE, con un saldo de $</w:t>
      </w:r>
      <w:r w:rsidR="004923BB" w:rsidRPr="005B16EB">
        <w:rPr>
          <w:rFonts w:ascii="Museo Sans 300" w:hAnsi="Museo Sans 300"/>
          <w:sz w:val="22"/>
          <w:szCs w:val="22"/>
          <w:lang w:val="es-MX"/>
        </w:rPr>
        <w:t>1,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918.4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 millones, entre otros. La deuda bilateral ascendió a $</w:t>
      </w:r>
      <w:r w:rsidR="00461174" w:rsidRPr="005B16EB">
        <w:rPr>
          <w:rFonts w:ascii="Museo Sans 300" w:hAnsi="Museo Sans 300"/>
          <w:sz w:val="22"/>
          <w:szCs w:val="22"/>
          <w:lang w:val="es-MX"/>
        </w:rPr>
        <w:t>3</w:t>
      </w:r>
      <w:r w:rsidR="00A02527" w:rsidRPr="005B16EB">
        <w:rPr>
          <w:rFonts w:ascii="Museo Sans 300" w:hAnsi="Museo Sans 300"/>
          <w:sz w:val="22"/>
          <w:szCs w:val="22"/>
          <w:lang w:val="es-MX"/>
        </w:rPr>
        <w:t>33.0</w:t>
      </w:r>
      <w:r w:rsidR="00BD7E5E" w:rsidRPr="005B16EB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millones, sobresaliendo </w:t>
      </w:r>
      <w:r w:rsidR="00853AA2" w:rsidRPr="005B16EB">
        <w:rPr>
          <w:rFonts w:ascii="Museo Sans 300" w:hAnsi="Museo Sans 300"/>
          <w:sz w:val="22"/>
          <w:szCs w:val="22"/>
          <w:lang w:val="es-MX"/>
        </w:rPr>
        <w:t>Alemania con $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96.1</w:t>
      </w:r>
      <w:r w:rsidR="00853AA2" w:rsidRPr="005B16EB">
        <w:rPr>
          <w:rFonts w:ascii="Museo Sans 300" w:hAnsi="Museo Sans 300"/>
          <w:sz w:val="22"/>
          <w:szCs w:val="22"/>
          <w:lang w:val="es-MX"/>
        </w:rPr>
        <w:t xml:space="preserve"> millones y </w:t>
      </w:r>
      <w:r w:rsidRPr="005B16EB">
        <w:rPr>
          <w:rFonts w:ascii="Museo Sans 300" w:hAnsi="Museo Sans 300"/>
          <w:sz w:val="22"/>
          <w:szCs w:val="22"/>
          <w:lang w:val="es-MX"/>
        </w:rPr>
        <w:t>Japón con un saldo de $</w:t>
      </w:r>
      <w:r w:rsidR="006B6EC2" w:rsidRPr="005B16EB">
        <w:rPr>
          <w:rFonts w:ascii="Museo Sans 300" w:hAnsi="Museo Sans 300"/>
          <w:sz w:val="22"/>
          <w:szCs w:val="22"/>
          <w:lang w:val="es-MX"/>
        </w:rPr>
        <w:t>1</w:t>
      </w:r>
      <w:r w:rsidR="00BD4F7B" w:rsidRPr="005B16EB">
        <w:rPr>
          <w:rFonts w:ascii="Museo Sans 300" w:hAnsi="Museo Sans 300"/>
          <w:sz w:val="22"/>
          <w:szCs w:val="22"/>
          <w:lang w:val="es-MX"/>
        </w:rPr>
        <w:t>2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0.5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672060" w:rsidRPr="005B16EB">
        <w:rPr>
          <w:rFonts w:ascii="Museo Sans 300" w:hAnsi="Museo Sans 300"/>
          <w:sz w:val="22"/>
          <w:szCs w:val="22"/>
          <w:lang w:val="es-MX"/>
        </w:rPr>
        <w:t>,</w:t>
      </w:r>
      <w:r w:rsidR="00853AA2" w:rsidRPr="005B16EB">
        <w:rPr>
          <w:rFonts w:ascii="Museo Sans 300" w:hAnsi="Museo Sans 300"/>
          <w:sz w:val="22"/>
          <w:szCs w:val="22"/>
          <w:lang w:val="es-MX"/>
        </w:rPr>
        <w:t xml:space="preserve"> entre otros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. Finalmente, los eurobonos en poder de no residentes </w:t>
      </w:r>
      <w:r w:rsidR="00080493" w:rsidRPr="005B16EB">
        <w:rPr>
          <w:rFonts w:ascii="Museo Sans 300" w:hAnsi="Museo Sans 300"/>
          <w:sz w:val="22"/>
          <w:szCs w:val="22"/>
          <w:lang w:val="es-MX"/>
        </w:rPr>
        <w:t xml:space="preserve">(deuda comercial) </w:t>
      </w:r>
      <w:r w:rsidRPr="005B16EB">
        <w:rPr>
          <w:rFonts w:ascii="Museo Sans 300" w:hAnsi="Museo Sans 300"/>
          <w:sz w:val="22"/>
          <w:szCs w:val="22"/>
          <w:lang w:val="es-MX"/>
        </w:rPr>
        <w:t>ascendieron a $</w:t>
      </w:r>
      <w:r w:rsidR="00BD4F7B" w:rsidRPr="005B16EB">
        <w:rPr>
          <w:rFonts w:ascii="Museo Sans 300" w:hAnsi="Museo Sans 300"/>
          <w:sz w:val="22"/>
          <w:szCs w:val="22"/>
          <w:lang w:val="es-MX"/>
        </w:rPr>
        <w:t>5,</w:t>
      </w:r>
      <w:r w:rsidR="005B16EB" w:rsidRPr="005B16EB">
        <w:rPr>
          <w:rFonts w:ascii="Museo Sans 300" w:hAnsi="Museo Sans 300"/>
          <w:sz w:val="22"/>
          <w:szCs w:val="22"/>
          <w:lang w:val="es-MX"/>
        </w:rPr>
        <w:t>380.2</w:t>
      </w:r>
      <w:r w:rsidRPr="005B16EB">
        <w:rPr>
          <w:rFonts w:ascii="Museo Sans 300" w:hAnsi="Museo Sans 300"/>
          <w:sz w:val="22"/>
          <w:szCs w:val="22"/>
          <w:lang w:val="es-MX"/>
        </w:rPr>
        <w:t xml:space="preserve"> millones.</w:t>
      </w:r>
    </w:p>
    <w:p w:rsidR="002B4222" w:rsidRDefault="002B4222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FC59E9" w:rsidRPr="00CD1FD1" w:rsidRDefault="00FC59E9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42DE5" w:rsidRDefault="00442DE5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bookmarkStart w:id="54" w:name="_Toc56581217"/>
      <w:bookmarkStart w:id="55" w:name="_Toc116389142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</w:t>
      </w:r>
      <w:r w:rsidR="000655D5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>Servicio de la deuda</w:t>
      </w:r>
      <w:r w:rsidR="00170BAE" w:rsidRPr="00CD1FD1">
        <w:rPr>
          <w:rFonts w:ascii="Museo Sans 300" w:hAnsi="Museo Sans 300"/>
          <w:b/>
          <w:sz w:val="22"/>
          <w:szCs w:val="22"/>
          <w:lang w:val="es-MX"/>
        </w:rPr>
        <w:t xml:space="preserve"> del SPNF</w:t>
      </w:r>
      <w:bookmarkEnd w:id="54"/>
      <w:bookmarkEnd w:id="55"/>
    </w:p>
    <w:p w:rsidR="00C960C9" w:rsidRPr="00C960C9" w:rsidRDefault="00C960C9" w:rsidP="00C960C9">
      <w:pPr>
        <w:rPr>
          <w:lang w:val="es-MX"/>
        </w:rPr>
      </w:pPr>
    </w:p>
    <w:p w:rsidR="00C960C9" w:rsidRPr="00C960C9" w:rsidRDefault="00C960C9" w:rsidP="00C960C9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56" w:name="_Toc112071235"/>
      <w:bookmarkStart w:id="57" w:name="_Toc112071395"/>
      <w:bookmarkStart w:id="58" w:name="_Toc112071557"/>
      <w:bookmarkStart w:id="59" w:name="_Toc56581219"/>
      <w:r w:rsidRPr="00C960C9">
        <w:rPr>
          <w:rFonts w:ascii="Museo Sans 300" w:hAnsi="Museo Sans 300"/>
          <w:sz w:val="22"/>
          <w:szCs w:val="22"/>
          <w:lang w:val="es-MX"/>
        </w:rPr>
        <w:t xml:space="preserve">El servicio de deuda asciende a un total de $1,848.3 millones, los cuales se distribuyen de la siguiente forma: se han efectuado amortizaciones acumuladas al mes de septiembre 2022 por </w:t>
      </w:r>
      <w:r w:rsidRPr="00C960C9">
        <w:rPr>
          <w:rFonts w:ascii="Museo Sans 300" w:hAnsi="Museo Sans 300"/>
          <w:sz w:val="22"/>
          <w:szCs w:val="22"/>
          <w:lang w:val="es-MX"/>
        </w:rPr>
        <w:lastRenderedPageBreak/>
        <w:t xml:space="preserve">un valor de $668.7 millones, de las que corresponden a deuda interna $78.4 millones. Por su parte, las amortizaciones efectuadas al sector externo ascienden a $590.2 millones, que incluye el pago de bonos externos por $354.7 efectuado en el mes de septiembre. </w:t>
      </w:r>
    </w:p>
    <w:p w:rsidR="00C960C9" w:rsidRPr="00C960C9" w:rsidRDefault="00C960C9" w:rsidP="00C960C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960C9" w:rsidRPr="00C960C9" w:rsidRDefault="00C960C9" w:rsidP="00C960C9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960C9">
        <w:rPr>
          <w:rFonts w:ascii="Museo Sans 300" w:hAnsi="Museo Sans 300"/>
          <w:sz w:val="22"/>
          <w:szCs w:val="22"/>
          <w:lang w:val="es-MX"/>
        </w:rPr>
        <w:t>El pago de intereses ascendió a $1,179.7 millones, de los cuales $586.1 millones corresponden a deuda interna (incluye el pago de intereses de la deuda municipal por un valor de $42.5 millones, distribuido en entre bancos comerciales y cajas de crédito) y el pago de intereses por préstamos e instrumentos en el sector externo asciende a $593.6 millones.</w:t>
      </w:r>
    </w:p>
    <w:p w:rsidR="00D6481A" w:rsidRPr="00C960C9" w:rsidRDefault="00D6481A" w:rsidP="00BD4F7B">
      <w:pPr>
        <w:ind w:right="-32"/>
        <w:jc w:val="both"/>
        <w:outlineLvl w:val="0"/>
        <w:rPr>
          <w:rFonts w:ascii="Museo Sans 300" w:hAnsi="Museo Sans 300"/>
          <w:sz w:val="22"/>
          <w:szCs w:val="22"/>
        </w:rPr>
      </w:pPr>
    </w:p>
    <w:bookmarkEnd w:id="56"/>
    <w:bookmarkEnd w:id="57"/>
    <w:bookmarkEnd w:id="58"/>
    <w:bookmarkEnd w:id="59"/>
    <w:p w:rsidR="004249A7" w:rsidRPr="00CD1FD1" w:rsidRDefault="004249A7" w:rsidP="009F1B6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4F5" w:rsidRDefault="005537E5" w:rsidP="00197782">
      <w:pPr>
        <w:pStyle w:val="Heading2"/>
        <w:spacing w:before="0"/>
        <w:rPr>
          <w:rFonts w:ascii="Museo Sans 300" w:hAnsi="Museo Sans 300"/>
          <w:b/>
          <w:sz w:val="22"/>
          <w:szCs w:val="22"/>
          <w:lang w:val="es-MX"/>
        </w:rPr>
      </w:pPr>
      <w:bookmarkStart w:id="60" w:name="_Toc411843467"/>
      <w:bookmarkStart w:id="61" w:name="_Toc505951458"/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bookmarkStart w:id="62" w:name="_Toc56581221"/>
      <w:bookmarkStart w:id="63" w:name="_Toc116389143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52AF" w:rsidRPr="00CD1FD1">
        <w:rPr>
          <w:rFonts w:ascii="Museo Sans 300" w:hAnsi="Museo Sans 300"/>
          <w:b/>
          <w:sz w:val="22"/>
          <w:szCs w:val="22"/>
          <w:lang w:val="es-MX"/>
        </w:rPr>
        <w:t>R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esultados</w:t>
      </w:r>
      <w:bookmarkEnd w:id="60"/>
      <w:r w:rsidR="00C20E39" w:rsidRPr="00CD1FD1">
        <w:rPr>
          <w:rFonts w:ascii="Museo Sans 300" w:hAnsi="Museo Sans 300"/>
          <w:b/>
          <w:sz w:val="22"/>
          <w:szCs w:val="22"/>
          <w:lang w:val="es-MX"/>
        </w:rPr>
        <w:t xml:space="preserve"> Globales del SPNF</w:t>
      </w:r>
      <w:bookmarkEnd w:id="61"/>
      <w:bookmarkEnd w:id="62"/>
      <w:r w:rsidR="00404593" w:rsidRPr="00CD1FD1">
        <w:rPr>
          <w:rFonts w:ascii="Museo Sans 300" w:hAnsi="Museo Sans 300"/>
          <w:b/>
          <w:sz w:val="22"/>
          <w:szCs w:val="22"/>
          <w:lang w:val="es-MX"/>
        </w:rPr>
        <w:t xml:space="preserve"> (ver anexo 1 y 2)</w:t>
      </w:r>
      <w:bookmarkEnd w:id="63"/>
    </w:p>
    <w:p w:rsidR="00197782" w:rsidRPr="00197782" w:rsidRDefault="00197782" w:rsidP="00197782">
      <w:pPr>
        <w:rPr>
          <w:sz w:val="12"/>
          <w:szCs w:val="12"/>
          <w:lang w:val="es-MX"/>
        </w:rPr>
      </w:pPr>
    </w:p>
    <w:p w:rsidR="005B3920" w:rsidRPr="00CD1FD1" w:rsidRDefault="00442DE5" w:rsidP="00197782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64" w:name="_Toc411843468"/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65" w:name="_Toc411843469"/>
      <w:bookmarkStart w:id="66" w:name="_Toc56581223"/>
      <w:bookmarkStart w:id="67" w:name="_Toc116389144"/>
      <w:bookmarkEnd w:id="64"/>
      <w:r w:rsidR="00085376" w:rsidRPr="00CD1FD1">
        <w:rPr>
          <w:rFonts w:ascii="Museo Sans 300" w:hAnsi="Museo Sans 300"/>
          <w:b/>
          <w:sz w:val="22"/>
          <w:szCs w:val="22"/>
          <w:lang w:val="es-MX"/>
        </w:rPr>
        <w:t xml:space="preserve">4.1 </w:t>
      </w:r>
      <w:bookmarkEnd w:id="65"/>
      <w:bookmarkEnd w:id="66"/>
      <w:r w:rsidR="005B3920" w:rsidRPr="00CD1FD1">
        <w:rPr>
          <w:rFonts w:ascii="Museo Sans 300" w:hAnsi="Museo Sans 300"/>
          <w:b/>
          <w:sz w:val="22"/>
          <w:szCs w:val="22"/>
          <w:lang w:val="es-MX"/>
        </w:rPr>
        <w:t>Balance Primario</w:t>
      </w:r>
      <w:bookmarkEnd w:id="67"/>
    </w:p>
    <w:p w:rsidR="005B3920" w:rsidRPr="00CD1FD1" w:rsidRDefault="005B3920" w:rsidP="00197782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B3920" w:rsidRPr="00CD1FD1" w:rsidRDefault="005B3920" w:rsidP="005B3920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El balance primario</w:t>
      </w:r>
      <w:r w:rsidRPr="00CD1FD1">
        <w:rPr>
          <w:rFonts w:ascii="Museo Sans 300" w:hAnsi="Museo Sans 300"/>
          <w:sz w:val="22"/>
          <w:szCs w:val="22"/>
          <w:vertAlign w:val="superscript"/>
          <w:lang w:val="es-MX"/>
        </w:rPr>
        <w:footnoteReference w:id="1"/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(con pensiones)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 xml:space="preserve"> 2022</w:t>
      </w:r>
      <w:r w:rsidRPr="00CD1FD1">
        <w:rPr>
          <w:rFonts w:ascii="Museo Sans 300" w:hAnsi="Museo Sans 300"/>
          <w:sz w:val="22"/>
          <w:szCs w:val="22"/>
          <w:lang w:val="es-MX"/>
        </w:rPr>
        <w:t>, obtuvo un resultado de $</w:t>
      </w:r>
      <w:r w:rsidR="003B7A07">
        <w:rPr>
          <w:rFonts w:ascii="Museo Sans 300" w:hAnsi="Museo Sans 300"/>
          <w:sz w:val="22"/>
          <w:szCs w:val="22"/>
          <w:lang w:val="es-MX"/>
        </w:rPr>
        <w:t>939.6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siendo 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 xml:space="preserve">ayor </w:t>
      </w:r>
      <w:r w:rsidRPr="00CD1FD1">
        <w:rPr>
          <w:rFonts w:ascii="Museo Sans 300" w:hAnsi="Museo Sans 300"/>
          <w:sz w:val="22"/>
          <w:szCs w:val="22"/>
          <w:lang w:val="es-MX"/>
        </w:rPr>
        <w:t>en $</w:t>
      </w:r>
      <w:r w:rsidR="003B7A07">
        <w:rPr>
          <w:rFonts w:ascii="Museo Sans 300" w:hAnsi="Museo Sans 300"/>
          <w:sz w:val="22"/>
          <w:szCs w:val="22"/>
          <w:lang w:val="es-MX"/>
        </w:rPr>
        <w:t>801.5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respecto al superávit obtenido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DA1707" w:rsidRPr="00CD1FD1">
        <w:rPr>
          <w:rFonts w:ascii="Museo Sans 300" w:hAnsi="Museo Sans 300"/>
          <w:sz w:val="22"/>
          <w:szCs w:val="22"/>
          <w:lang w:val="es-MX"/>
        </w:rPr>
        <w:t>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. En términos del PIB fue equivalente al </w:t>
      </w:r>
      <w:r w:rsidR="003B7A07">
        <w:rPr>
          <w:rFonts w:ascii="Museo Sans 300" w:hAnsi="Museo Sans 300"/>
          <w:sz w:val="22"/>
          <w:szCs w:val="22"/>
          <w:lang w:val="es-MX"/>
        </w:rPr>
        <w:t>3.0</w:t>
      </w:r>
      <w:r w:rsidRPr="00CD1FD1">
        <w:rPr>
          <w:rFonts w:ascii="Museo Sans 300" w:hAnsi="Museo Sans 300"/>
          <w:sz w:val="22"/>
          <w:szCs w:val="22"/>
          <w:lang w:val="es-MX"/>
        </w:rPr>
        <w:t>% 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ayor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en </w:t>
      </w:r>
      <w:r w:rsidR="003B7A07">
        <w:rPr>
          <w:rFonts w:ascii="Museo Sans 300" w:hAnsi="Museo Sans 300"/>
          <w:sz w:val="22"/>
          <w:szCs w:val="22"/>
          <w:lang w:val="es-MX"/>
        </w:rPr>
        <w:t>2.5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puntos al obtenido en el año anterior.</w:t>
      </w:r>
    </w:p>
    <w:p w:rsidR="009E7475" w:rsidRPr="00CD1FD1" w:rsidRDefault="009E7475" w:rsidP="00840A08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EE4073" w:rsidRDefault="0049611D" w:rsidP="0049611D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3F74EF">
        <w:rPr>
          <w:rFonts w:ascii="Museo Sans 300" w:hAnsi="Museo Sans 300"/>
          <w:sz w:val="22"/>
          <w:szCs w:val="22"/>
          <w:lang w:val="es-MX"/>
        </w:rPr>
        <w:t>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Balance Primario </w:t>
      </w:r>
      <w:r w:rsidRPr="0012688D">
        <w:rPr>
          <w:rFonts w:ascii="Museo Sans 300" w:hAnsi="Museo Sans 300"/>
          <w:sz w:val="22"/>
          <w:szCs w:val="22"/>
          <w:lang w:val="es-MX"/>
        </w:rPr>
        <w:t xml:space="preserve">del SPNF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Pr="0012688D">
        <w:rPr>
          <w:rFonts w:ascii="Museo Sans 300" w:hAnsi="Museo Sans 300"/>
          <w:sz w:val="22"/>
          <w:szCs w:val="22"/>
          <w:lang w:val="es-MX"/>
        </w:rPr>
        <w:t xml:space="preserve"> 2014-2022</w:t>
      </w:r>
    </w:p>
    <w:p w:rsidR="0049611D" w:rsidRPr="00EE4073" w:rsidRDefault="0049611D" w:rsidP="0049611D">
      <w:pPr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EE4073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0E0CCD" w:rsidRPr="00CD1FD1" w:rsidRDefault="007562A8" w:rsidP="00FC59E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7562A8">
        <w:rPr>
          <w:noProof/>
        </w:rPr>
        <w:drawing>
          <wp:inline distT="0" distB="0" distL="0" distR="0" wp14:anchorId="4A3E79CC" wp14:editId="59D370E8">
            <wp:extent cx="5148303" cy="3085543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54" cy="310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C9" w:rsidRPr="00F775B5" w:rsidRDefault="00E95BC9" w:rsidP="00386BC0">
      <w:pPr>
        <w:jc w:val="center"/>
        <w:rPr>
          <w:rFonts w:ascii="Museo Sans 300" w:hAnsi="Museo Sans 300"/>
          <w:sz w:val="12"/>
          <w:szCs w:val="12"/>
          <w:lang w:val="es-MX"/>
        </w:rPr>
      </w:pPr>
    </w:p>
    <w:p w:rsidR="00C960C9" w:rsidRDefault="00442DE5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68" w:name="_Toc411843470"/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69" w:name="_Toc56581224"/>
      <w:bookmarkStart w:id="70" w:name="_Toc116389145"/>
    </w:p>
    <w:p w:rsidR="00C960C9" w:rsidRDefault="00C960C9" w:rsidP="00C960C9">
      <w:pPr>
        <w:rPr>
          <w:lang w:val="es-MX"/>
        </w:rPr>
      </w:pPr>
    </w:p>
    <w:p w:rsidR="00D752AF" w:rsidRPr="00CD1FD1" w:rsidRDefault="00AA7D08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</w:t>
      </w:r>
      <w:r w:rsidR="00DB11D8"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D752AF" w:rsidRPr="00CD1FD1">
        <w:rPr>
          <w:rFonts w:ascii="Museo Sans 300" w:hAnsi="Museo Sans 300"/>
          <w:b/>
          <w:sz w:val="22"/>
          <w:szCs w:val="22"/>
          <w:lang w:val="es-MX"/>
        </w:rPr>
        <w:t>Balance global</w:t>
      </w:r>
      <w:bookmarkEnd w:id="69"/>
      <w:bookmarkEnd w:id="70"/>
    </w:p>
    <w:p w:rsidR="00D752AF" w:rsidRPr="00F775B5" w:rsidRDefault="00D752AF" w:rsidP="004A685A">
      <w:pPr>
        <w:jc w:val="both"/>
        <w:rPr>
          <w:rFonts w:ascii="Museo Sans 300" w:hAnsi="Museo Sans 300"/>
          <w:sz w:val="12"/>
          <w:szCs w:val="12"/>
          <w:lang w:val="es-MX"/>
        </w:rPr>
      </w:pPr>
    </w:p>
    <w:bookmarkEnd w:id="68"/>
    <w:p w:rsidR="00F077AF" w:rsidRPr="00CD1FD1" w:rsidRDefault="002F28DF" w:rsidP="00F077AF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Las operaciones financieras consolidadas</w:t>
      </w:r>
      <w:r w:rsidR="007A4225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del SPNF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 xml:space="preserve"> 2022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, registr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aron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un</w:t>
      </w:r>
      <w:r w:rsidR="00DB556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3B7A07">
        <w:rPr>
          <w:rFonts w:ascii="Museo Sans 300" w:hAnsi="Museo Sans 300"/>
          <w:sz w:val="22"/>
          <w:szCs w:val="22"/>
          <w:lang w:val="es-MX"/>
        </w:rPr>
        <w:t>déficit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global sin pensiones de $</w:t>
      </w:r>
      <w:r w:rsidR="003B7A07">
        <w:rPr>
          <w:rFonts w:ascii="Museo Sans 300" w:hAnsi="Museo Sans 300"/>
          <w:sz w:val="22"/>
          <w:szCs w:val="22"/>
          <w:lang w:val="es-MX"/>
        </w:rPr>
        <w:t>20.7</w:t>
      </w:r>
      <w:r w:rsidR="00FB7D8B" w:rsidRPr="00CD1FD1">
        <w:rPr>
          <w:rFonts w:ascii="Museo Sans 300" w:hAnsi="Museo Sans 300"/>
          <w:sz w:val="22"/>
          <w:szCs w:val="22"/>
          <w:lang w:val="es-MX"/>
        </w:rPr>
        <w:t xml:space="preserve"> mi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llones, equivalente a 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0.</w:t>
      </w:r>
      <w:r w:rsidR="003B7A07">
        <w:rPr>
          <w:rFonts w:ascii="Museo Sans 300" w:hAnsi="Museo Sans 300"/>
          <w:sz w:val="22"/>
          <w:szCs w:val="22"/>
          <w:lang w:val="es-MX"/>
        </w:rPr>
        <w:t>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% del PIB; </w:t>
      </w:r>
      <w:r w:rsidR="00F12D56" w:rsidRPr="00CD1FD1">
        <w:rPr>
          <w:rFonts w:ascii="Museo Sans 300" w:hAnsi="Museo Sans 300"/>
          <w:sz w:val="22"/>
          <w:szCs w:val="22"/>
          <w:lang w:val="es-MX"/>
        </w:rPr>
        <w:t xml:space="preserve">resultado </w:t>
      </w:r>
      <w:r w:rsidR="00BE37C9" w:rsidRPr="00CD1FD1">
        <w:rPr>
          <w:rFonts w:ascii="Museo Sans 300" w:hAnsi="Museo Sans 300"/>
          <w:sz w:val="22"/>
          <w:szCs w:val="22"/>
          <w:lang w:val="es-MX"/>
        </w:rPr>
        <w:t>m</w:t>
      </w:r>
      <w:r w:rsidR="003B7A07">
        <w:rPr>
          <w:rFonts w:ascii="Museo Sans 300" w:hAnsi="Museo Sans 300"/>
          <w:sz w:val="22"/>
          <w:szCs w:val="22"/>
          <w:lang w:val="es-MX"/>
        </w:rPr>
        <w:t>enor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ED4983"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3B7A07">
        <w:rPr>
          <w:rFonts w:ascii="Museo Sans 300" w:hAnsi="Museo Sans 300"/>
          <w:sz w:val="22"/>
          <w:szCs w:val="22"/>
          <w:lang w:val="es-MX"/>
        </w:rPr>
        <w:t>2.4</w:t>
      </w:r>
      <w:r w:rsidR="00ED4983" w:rsidRPr="00CD1FD1">
        <w:rPr>
          <w:rFonts w:ascii="Museo Sans 300" w:hAnsi="Museo Sans 300"/>
          <w:sz w:val="22"/>
          <w:szCs w:val="22"/>
          <w:lang w:val="es-MX"/>
        </w:rPr>
        <w:t xml:space="preserve"> puntos </w:t>
      </w:r>
      <w:r w:rsidR="00DB556C" w:rsidRPr="00CD1FD1">
        <w:rPr>
          <w:rFonts w:ascii="Museo Sans 300" w:hAnsi="Museo Sans 300"/>
          <w:sz w:val="22"/>
          <w:szCs w:val="22"/>
          <w:lang w:val="es-MX"/>
        </w:rPr>
        <w:t xml:space="preserve">del PIB </w:t>
      </w:r>
      <w:r w:rsidR="00F12D56" w:rsidRPr="00CD1FD1">
        <w:rPr>
          <w:rFonts w:ascii="Museo Sans 300" w:hAnsi="Museo Sans 300"/>
          <w:sz w:val="22"/>
          <w:szCs w:val="22"/>
          <w:lang w:val="es-MX"/>
        </w:rPr>
        <w:t>c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on relación al observado en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, producto de un</w:t>
      </w:r>
      <w:r w:rsidR="00FE031E" w:rsidRPr="00CD1FD1">
        <w:rPr>
          <w:rFonts w:ascii="Museo Sans 300" w:hAnsi="Museo Sans 300"/>
          <w:sz w:val="22"/>
          <w:szCs w:val="22"/>
          <w:lang w:val="es-MX"/>
        </w:rPr>
        <w:t xml:space="preserve"> crecimiento 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ayor</w:t>
      </w:r>
      <w:r w:rsidR="00FE031E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en los ingresos por $</w:t>
      </w:r>
      <w:r w:rsidR="003B7A07">
        <w:rPr>
          <w:rFonts w:ascii="Museo Sans 300" w:hAnsi="Museo Sans 300"/>
          <w:sz w:val="22"/>
          <w:szCs w:val="22"/>
          <w:lang w:val="es-MX"/>
        </w:rPr>
        <w:t>779.3</w:t>
      </w:r>
      <w:r w:rsidR="00C9047A"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 xml:space="preserve"> (</w:t>
      </w:r>
      <w:r w:rsidR="00F077AF">
        <w:rPr>
          <w:rFonts w:ascii="Museo Sans 300" w:hAnsi="Museo Sans 300"/>
          <w:sz w:val="22"/>
          <w:szCs w:val="22"/>
          <w:lang w:val="es-MX"/>
        </w:rPr>
        <w:t>1</w:t>
      </w:r>
      <w:r w:rsidR="003B7A07">
        <w:rPr>
          <w:rFonts w:ascii="Museo Sans 300" w:hAnsi="Museo Sans 300"/>
          <w:sz w:val="22"/>
          <w:szCs w:val="22"/>
          <w:lang w:val="es-MX"/>
        </w:rPr>
        <w:t>4.9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>%)</w:t>
      </w:r>
      <w:r w:rsidR="00C9047A" w:rsidRPr="00CD1FD1">
        <w:rPr>
          <w:rFonts w:ascii="Museo Sans 300" w:hAnsi="Museo Sans 300"/>
          <w:sz w:val="22"/>
          <w:szCs w:val="22"/>
          <w:lang w:val="es-MX"/>
        </w:rPr>
        <w:t xml:space="preserve"> y </w:t>
      </w:r>
      <w:r w:rsidR="00F83B36" w:rsidRPr="00CD1FD1">
        <w:rPr>
          <w:rFonts w:ascii="Museo Sans 300" w:hAnsi="Museo Sans 300"/>
          <w:sz w:val="22"/>
          <w:szCs w:val="22"/>
          <w:lang w:val="es-MX"/>
        </w:rPr>
        <w:t>un incremento</w:t>
      </w:r>
      <w:r w:rsidR="00D63A75" w:rsidRPr="00CD1FD1">
        <w:rPr>
          <w:rFonts w:ascii="Museo Sans 300" w:hAnsi="Museo Sans 300"/>
          <w:sz w:val="22"/>
          <w:szCs w:val="22"/>
          <w:lang w:val="es-MX"/>
        </w:rPr>
        <w:t xml:space="preserve"> m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en los gastos totales de $</w:t>
      </w:r>
      <w:r w:rsidR="003B7A07">
        <w:rPr>
          <w:rFonts w:ascii="Museo Sans 300" w:hAnsi="Museo Sans 300"/>
          <w:sz w:val="22"/>
          <w:szCs w:val="22"/>
          <w:lang w:val="es-MX"/>
        </w:rPr>
        <w:t>81.8</w:t>
      </w:r>
      <w:r w:rsidR="003C618A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millones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 xml:space="preserve"> (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1.4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>%)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. Al incorporar el pago en concepto de pensiones</w:t>
      </w:r>
      <w:r w:rsidR="007A4225" w:rsidRPr="00CD1FD1">
        <w:rPr>
          <w:rFonts w:ascii="Museo Sans 300" w:hAnsi="Museo Sans 300"/>
          <w:sz w:val="22"/>
          <w:szCs w:val="22"/>
          <w:lang w:val="es-MX"/>
        </w:rPr>
        <w:t xml:space="preserve"> (FOP)</w:t>
      </w:r>
      <w:r w:rsidR="00665FCA" w:rsidRPr="00CD1FD1">
        <w:rPr>
          <w:rFonts w:ascii="Museo Sans 300" w:hAnsi="Museo Sans 300"/>
          <w:sz w:val="22"/>
          <w:szCs w:val="22"/>
          <w:lang w:val="es-MX"/>
        </w:rPr>
        <w:t>,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resultó un déficit global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lastRenderedPageBreak/>
        <w:t>de $</w:t>
      </w:r>
      <w:r w:rsidR="003B7A07">
        <w:rPr>
          <w:rFonts w:ascii="Museo Sans 300" w:hAnsi="Museo Sans 300"/>
          <w:sz w:val="22"/>
          <w:szCs w:val="22"/>
          <w:lang w:val="es-MX"/>
        </w:rPr>
        <w:t>240.1</w:t>
      </w:r>
      <w:r w:rsidR="00834CD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A147C" w:rsidRPr="00CD1FD1">
        <w:rPr>
          <w:rFonts w:ascii="Museo Sans 300" w:hAnsi="Museo Sans 300"/>
          <w:sz w:val="22"/>
          <w:szCs w:val="22"/>
          <w:lang w:val="es-MX"/>
        </w:rPr>
        <w:t>millones</w:t>
      </w:r>
      <w:r w:rsidR="0090383E" w:rsidRPr="00CD1FD1">
        <w:rPr>
          <w:rFonts w:ascii="Museo Sans 300" w:hAnsi="Museo Sans 300"/>
          <w:sz w:val="22"/>
          <w:szCs w:val="22"/>
          <w:lang w:val="es-MX"/>
        </w:rPr>
        <w:t>,</w:t>
      </w:r>
      <w:r w:rsidR="002A147C" w:rsidRPr="00CD1FD1">
        <w:rPr>
          <w:rFonts w:ascii="Museo Sans 300" w:hAnsi="Museo Sans 300"/>
          <w:sz w:val="22"/>
          <w:szCs w:val="22"/>
          <w:lang w:val="es-MX"/>
        </w:rPr>
        <w:t xml:space="preserve"> m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14194D"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$</w:t>
      </w:r>
      <w:r w:rsidR="003B7A07">
        <w:rPr>
          <w:rFonts w:ascii="Museo Sans 300" w:hAnsi="Museo Sans 300"/>
          <w:sz w:val="22"/>
          <w:szCs w:val="22"/>
          <w:lang w:val="es-MX"/>
        </w:rPr>
        <w:t>679.2</w:t>
      </w:r>
      <w:r w:rsidR="0061270D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millones al registrado en </w:t>
      </w:r>
      <w:r w:rsidR="00C6558B" w:rsidRPr="00CD1FD1">
        <w:rPr>
          <w:rFonts w:ascii="Museo Sans 300" w:hAnsi="Museo Sans 300"/>
          <w:sz w:val="22"/>
          <w:szCs w:val="22"/>
          <w:lang w:val="es-MX"/>
        </w:rPr>
        <w:t xml:space="preserve">el mismo período de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. En términos del PIB </w:t>
      </w:r>
      <w:r w:rsidR="0052116C" w:rsidRPr="00CD1FD1">
        <w:rPr>
          <w:rFonts w:ascii="Museo Sans 300" w:hAnsi="Museo Sans 300"/>
          <w:sz w:val="22"/>
          <w:szCs w:val="22"/>
          <w:lang w:val="es-MX"/>
        </w:rPr>
        <w:t xml:space="preserve">el déficit </w:t>
      </w:r>
      <w:r w:rsidR="006B4FA5" w:rsidRPr="00CD1FD1">
        <w:rPr>
          <w:rFonts w:ascii="Museo Sans 300" w:hAnsi="Museo Sans 300"/>
          <w:sz w:val="22"/>
          <w:szCs w:val="22"/>
          <w:lang w:val="es-MX"/>
        </w:rPr>
        <w:t xml:space="preserve">fiscal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fue equivalente a </w:t>
      </w:r>
      <w:r w:rsidR="00137B38" w:rsidRPr="00CD1FD1">
        <w:rPr>
          <w:rFonts w:ascii="Museo Sans 300" w:hAnsi="Museo Sans 300"/>
          <w:sz w:val="22"/>
          <w:szCs w:val="22"/>
          <w:lang w:val="es-MX"/>
        </w:rPr>
        <w:t>-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0.</w:t>
      </w:r>
      <w:r w:rsidR="003B7A07">
        <w:rPr>
          <w:rFonts w:ascii="Museo Sans 300" w:hAnsi="Museo Sans 300"/>
          <w:sz w:val="22"/>
          <w:szCs w:val="22"/>
          <w:lang w:val="es-MX"/>
        </w:rPr>
        <w:t>8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%</w:t>
      </w:r>
      <w:r w:rsidR="00650F9B" w:rsidRPr="00CD1FD1">
        <w:rPr>
          <w:rFonts w:ascii="Museo Sans 300" w:hAnsi="Museo Sans 300"/>
          <w:sz w:val="22"/>
          <w:szCs w:val="22"/>
          <w:lang w:val="es-MX"/>
        </w:rPr>
        <w:t>.</w:t>
      </w:r>
      <w:r w:rsidR="00DB556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665FCA" w:rsidRPr="00F775B5" w:rsidRDefault="00665FCA" w:rsidP="00BE54F5">
      <w:pPr>
        <w:jc w:val="both"/>
        <w:rPr>
          <w:rFonts w:ascii="Museo Sans 300" w:hAnsi="Museo Sans 300"/>
          <w:sz w:val="12"/>
          <w:szCs w:val="12"/>
          <w:lang w:val="es-MX"/>
        </w:rPr>
      </w:pPr>
    </w:p>
    <w:p w:rsidR="003F74EF" w:rsidRDefault="003F74EF" w:rsidP="0049611D">
      <w:pPr>
        <w:rPr>
          <w:rFonts w:ascii="Museo Sans 300" w:hAnsi="Museo Sans 300"/>
          <w:sz w:val="22"/>
          <w:szCs w:val="22"/>
          <w:lang w:val="es-MX"/>
        </w:rPr>
      </w:pPr>
    </w:p>
    <w:p w:rsidR="000F7857" w:rsidRPr="00CD1FD1" w:rsidRDefault="00DA7944" w:rsidP="003F74EF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Gráfico 1</w:t>
      </w:r>
      <w:r w:rsidR="003F74EF">
        <w:rPr>
          <w:rFonts w:ascii="Museo Sans 300" w:hAnsi="Museo Sans 300"/>
          <w:sz w:val="22"/>
          <w:szCs w:val="22"/>
          <w:lang w:val="es-MX"/>
        </w:rPr>
        <w:t>0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: Balance Global con pensiones del SPNF a </w:t>
      </w:r>
      <w:r w:rsidR="006E1D43">
        <w:rPr>
          <w:rFonts w:ascii="Museo Sans 300" w:hAnsi="Museo Sans 300"/>
          <w:sz w:val="22"/>
          <w:szCs w:val="22"/>
          <w:lang w:val="es-MX"/>
        </w:rPr>
        <w:t>septiembre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2014-202</w:t>
      </w:r>
      <w:r w:rsidR="00F4033D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DB11D8" w:rsidRPr="006576D7" w:rsidRDefault="00DB11D8" w:rsidP="00386BC0">
      <w:pPr>
        <w:jc w:val="center"/>
        <w:rPr>
          <w:rFonts w:ascii="Museo Sans 300" w:hAnsi="Museo Sans 300"/>
          <w:sz w:val="16"/>
          <w:szCs w:val="16"/>
          <w:lang w:val="es-MX"/>
        </w:rPr>
      </w:pPr>
    </w:p>
    <w:p w:rsidR="00622AAA" w:rsidRPr="00CD1FD1" w:rsidRDefault="00E26DEC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E26DEC">
        <w:rPr>
          <w:noProof/>
        </w:rPr>
        <w:drawing>
          <wp:inline distT="0" distB="0" distL="0" distR="0" wp14:anchorId="1F9F6068" wp14:editId="40422D61">
            <wp:extent cx="5359177" cy="3211926"/>
            <wp:effectExtent l="0" t="0" r="0" b="762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72" cy="32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71" w:name="_Toc56581225"/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B53EC3" w:rsidRDefault="00B53EC3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B53EC3" w:rsidRDefault="00B53EC3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B53EC3" w:rsidRDefault="00B53EC3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E26DEC" w:rsidRDefault="00E26DEC" w:rsidP="00E26DEC">
      <w:pPr>
        <w:rPr>
          <w:lang w:val="es-MX"/>
        </w:rPr>
      </w:pPr>
    </w:p>
    <w:p w:rsidR="003B7A07" w:rsidRDefault="003B7A07" w:rsidP="00E26DEC">
      <w:pPr>
        <w:rPr>
          <w:lang w:val="es-MX"/>
        </w:rPr>
      </w:pPr>
    </w:p>
    <w:p w:rsidR="003B7A07" w:rsidRDefault="003B7A07" w:rsidP="00E26DEC">
      <w:pPr>
        <w:rPr>
          <w:lang w:val="es-MX"/>
        </w:rPr>
      </w:pPr>
    </w:p>
    <w:p w:rsidR="003B7A07" w:rsidRDefault="003B7A07" w:rsidP="00E26DEC">
      <w:pPr>
        <w:rPr>
          <w:lang w:val="es-MX"/>
        </w:rPr>
      </w:pPr>
    </w:p>
    <w:p w:rsidR="003B7A07" w:rsidRDefault="003B7A07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Default="00E66ABF" w:rsidP="00E26DEC">
      <w:pPr>
        <w:rPr>
          <w:lang w:val="es-MX"/>
        </w:rPr>
      </w:pPr>
    </w:p>
    <w:p w:rsidR="00E66ABF" w:rsidRPr="00E26DEC" w:rsidRDefault="00E66ABF" w:rsidP="00E26DEC">
      <w:pPr>
        <w:rPr>
          <w:lang w:val="es-MX"/>
        </w:rPr>
      </w:pPr>
    </w:p>
    <w:p w:rsidR="00B53EC3" w:rsidRDefault="00B53EC3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BE54F5" w:rsidRPr="00CD1FD1" w:rsidRDefault="00AA7D08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72" w:name="_Toc116389146"/>
      <w:r w:rsidRPr="00CD1FD1">
        <w:rPr>
          <w:rFonts w:ascii="Museo Sans 300" w:hAnsi="Museo Sans 300"/>
          <w:b/>
          <w:sz w:val="22"/>
          <w:szCs w:val="22"/>
          <w:lang w:val="es-MX"/>
        </w:rPr>
        <w:t>5</w:t>
      </w:r>
      <w:r w:rsidR="004423E5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03ED" w:rsidRPr="00CD1FD1">
        <w:rPr>
          <w:rFonts w:ascii="Museo Sans 300" w:hAnsi="Museo Sans 300"/>
          <w:b/>
          <w:sz w:val="22"/>
          <w:szCs w:val="22"/>
          <w:lang w:val="es-MX"/>
        </w:rPr>
        <w:t>A</w:t>
      </w:r>
      <w:r w:rsidR="00620488" w:rsidRPr="00CD1FD1">
        <w:rPr>
          <w:rFonts w:ascii="Museo Sans 300" w:hAnsi="Museo Sans 300"/>
          <w:b/>
          <w:sz w:val="22"/>
          <w:szCs w:val="22"/>
          <w:lang w:val="es-MX"/>
        </w:rPr>
        <w:t>NEXOS</w:t>
      </w:r>
      <w:bookmarkEnd w:id="71"/>
      <w:bookmarkEnd w:id="72"/>
    </w:p>
    <w:p w:rsidR="00620488" w:rsidRPr="00CD1FD1" w:rsidRDefault="00620488" w:rsidP="004A685A">
      <w:pPr>
        <w:jc w:val="both"/>
        <w:rPr>
          <w:rFonts w:ascii="Museo Sans 300" w:hAnsi="Museo Sans 300"/>
          <w:b/>
          <w:sz w:val="22"/>
          <w:szCs w:val="22"/>
          <w:lang w:val="es-MX"/>
        </w:rPr>
      </w:pPr>
    </w:p>
    <w:p w:rsidR="00B80A8E" w:rsidRPr="00CD1FD1" w:rsidRDefault="00B80A8E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650F9B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926789" w:rsidRDefault="00926789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1: Ejecución del SPNF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b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  <w:r w:rsidR="000B748E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>-</w:t>
      </w:r>
      <w:r w:rsidR="000B748E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042C94" w:rsidRPr="00CD1FD1">
        <w:rPr>
          <w:rFonts w:ascii="Museo Sans 300" w:hAnsi="Museo Sans 300"/>
          <w:b/>
          <w:sz w:val="22"/>
          <w:szCs w:val="22"/>
          <w:lang w:val="es-MX"/>
        </w:rPr>
        <w:t>202</w:t>
      </w:r>
      <w:r w:rsidR="00391D19" w:rsidRPr="00CD1FD1">
        <w:rPr>
          <w:rFonts w:ascii="Museo Sans 300" w:hAnsi="Museo Sans 300"/>
          <w:b/>
          <w:sz w:val="22"/>
          <w:szCs w:val="22"/>
          <w:lang w:val="es-MX"/>
        </w:rPr>
        <w:t>1</w:t>
      </w:r>
    </w:p>
    <w:p w:rsidR="00620488" w:rsidRPr="00CD1FD1" w:rsidRDefault="0061270D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</w:rPr>
        <w:t xml:space="preserve"> </w:t>
      </w:r>
      <w:r w:rsidR="000B748E" w:rsidRPr="00CD1FD1">
        <w:rPr>
          <w:rFonts w:ascii="Museo Sans 300" w:hAnsi="Museo Sans 300"/>
          <w:sz w:val="22"/>
          <w:szCs w:val="22"/>
        </w:rPr>
        <w:t xml:space="preserve"> </w:t>
      </w:r>
      <w:r w:rsidR="00620488" w:rsidRPr="00CD1FD1">
        <w:rPr>
          <w:rFonts w:ascii="Museo Sans 300" w:hAnsi="Museo Sans 300"/>
          <w:b/>
          <w:sz w:val="22"/>
          <w:szCs w:val="22"/>
          <w:lang w:val="es-MX"/>
        </w:rPr>
        <w:t>(Millones de $)</w:t>
      </w:r>
    </w:p>
    <w:p w:rsidR="00FB2ADD" w:rsidRPr="00CD1FD1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E26DEC">
        <w:rPr>
          <w:noProof/>
        </w:rPr>
        <w:drawing>
          <wp:inline distT="0" distB="0" distL="0" distR="0" wp14:anchorId="45D3B389" wp14:editId="659B6BAE">
            <wp:extent cx="5971540" cy="7183064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1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0D" w:rsidRPr="00CD1FD1" w:rsidRDefault="0061270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350D29" w:rsidRDefault="00350D2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926789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926789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926789" w:rsidRPr="00CD1FD1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2: </w:t>
      </w:r>
      <w:r w:rsidR="0052116C" w:rsidRPr="00CD1FD1">
        <w:rPr>
          <w:rFonts w:ascii="Museo Sans 300" w:hAnsi="Museo Sans 300"/>
          <w:b/>
          <w:sz w:val="22"/>
          <w:szCs w:val="22"/>
          <w:lang w:val="es-MX"/>
        </w:rPr>
        <w:t xml:space="preserve">Ejecución del SPNF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b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  <w:r w:rsidR="0052116C" w:rsidRPr="00CD1FD1">
        <w:rPr>
          <w:rFonts w:ascii="Museo Sans 300" w:hAnsi="Museo Sans 300"/>
          <w:b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b/>
          <w:sz w:val="22"/>
          <w:szCs w:val="22"/>
          <w:lang w:val="es-MX"/>
        </w:rPr>
        <w:t>202</w:t>
      </w:r>
      <w:r w:rsidR="00E5417D" w:rsidRPr="00CD1FD1">
        <w:rPr>
          <w:rFonts w:ascii="Museo Sans 300" w:hAnsi="Museo Sans 300"/>
          <w:b/>
          <w:sz w:val="22"/>
          <w:szCs w:val="22"/>
          <w:lang w:val="es-MX"/>
        </w:rPr>
        <w:t>1</w:t>
      </w:r>
    </w:p>
    <w:p w:rsidR="00620488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(Porcentajes del PIB)</w:t>
      </w:r>
    </w:p>
    <w:p w:rsidR="00FB2ADD" w:rsidRPr="00CD1FD1" w:rsidRDefault="00F81600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F81600">
        <w:rPr>
          <w:noProof/>
        </w:rPr>
        <w:drawing>
          <wp:inline distT="0" distB="0" distL="0" distR="0" wp14:anchorId="167ED50B" wp14:editId="1ABFD0E1">
            <wp:extent cx="5971540" cy="7445698"/>
            <wp:effectExtent l="0" t="0" r="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44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BE" w:rsidRDefault="00F02AB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3F74EF" w:rsidRDefault="003F74EF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3F74EF" w:rsidRDefault="003F74EF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>Anexo 3</w:t>
      </w:r>
      <w:r w:rsidR="003D10A0" w:rsidRPr="00CD1FD1">
        <w:rPr>
          <w:rFonts w:ascii="Museo Sans 300" w:hAnsi="Museo Sans 300"/>
          <w:b/>
          <w:sz w:val="22"/>
          <w:szCs w:val="22"/>
          <w:lang w:val="es-MX"/>
        </w:rPr>
        <w:t>: Ingresos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AA301A" w:rsidRPr="00CD1FD1">
        <w:rPr>
          <w:rFonts w:ascii="Museo Sans 300" w:hAnsi="Museo Sans 300"/>
          <w:b/>
          <w:sz w:val="22"/>
          <w:szCs w:val="22"/>
          <w:lang w:val="es-MX"/>
        </w:rPr>
        <w:t xml:space="preserve">Totales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del </w:t>
      </w:r>
      <w:r w:rsidR="00AA301A" w:rsidRPr="00CD1FD1">
        <w:rPr>
          <w:rFonts w:ascii="Museo Sans 300" w:hAnsi="Museo Sans 300"/>
          <w:b/>
          <w:sz w:val="22"/>
          <w:szCs w:val="22"/>
          <w:lang w:val="es-MX"/>
        </w:rPr>
        <w:t xml:space="preserve">Sector </w:t>
      </w:r>
      <w:r w:rsidR="00DB11D8" w:rsidRPr="00CD1FD1">
        <w:rPr>
          <w:rFonts w:ascii="Museo Sans 300" w:hAnsi="Museo Sans 300"/>
          <w:b/>
          <w:sz w:val="22"/>
          <w:szCs w:val="22"/>
          <w:lang w:val="es-MX"/>
        </w:rPr>
        <w:t>P</w:t>
      </w:r>
      <w:r w:rsidR="00AA301A" w:rsidRPr="00CD1FD1">
        <w:rPr>
          <w:rFonts w:ascii="Museo Sans 300" w:hAnsi="Museo Sans 300"/>
          <w:b/>
          <w:sz w:val="22"/>
          <w:szCs w:val="22"/>
          <w:lang w:val="es-MX"/>
        </w:rPr>
        <w:t>úblico No Financiero</w:t>
      </w:r>
      <w:r w:rsidR="000A0064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b/>
          <w:sz w:val="22"/>
          <w:szCs w:val="22"/>
          <w:lang w:val="es-MX"/>
        </w:rPr>
        <w:t>septiembre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(Millones $)</w:t>
      </w:r>
    </w:p>
    <w:p w:rsidR="00936D5E" w:rsidRPr="00CD1FD1" w:rsidRDefault="00936D5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F8160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F81600">
        <w:rPr>
          <w:noProof/>
        </w:rPr>
        <w:drawing>
          <wp:inline distT="0" distB="0" distL="0" distR="0" wp14:anchorId="4BBCFEF6" wp14:editId="2C8DF830">
            <wp:extent cx="5971540" cy="4340828"/>
            <wp:effectExtent l="0" t="0" r="0" b="317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3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88" w:rsidRPr="00CD1FD1" w:rsidRDefault="0062048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DC7D4F" w:rsidRPr="00CD1FD1" w:rsidRDefault="00DC7D4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351330" w:rsidRPr="00CD1FD1" w:rsidRDefault="0035133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Pr="00CD1FD1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207BF" w:rsidRPr="00CD1FD1" w:rsidRDefault="002207B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207BF" w:rsidRPr="00CD1FD1" w:rsidRDefault="002207B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EC7984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4: Ejecución de la Inversión Pública del SPNF </w:t>
      </w:r>
      <w:r w:rsidR="006A326C" w:rsidRPr="00CD1FD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6E1D43">
        <w:rPr>
          <w:rFonts w:ascii="Museo Sans 300" w:hAnsi="Museo Sans 300"/>
          <w:b/>
          <w:sz w:val="22"/>
          <w:szCs w:val="22"/>
          <w:lang w:val="es-MX"/>
        </w:rPr>
        <w:t>septiembre</w:t>
      </w:r>
      <w:r w:rsidR="006A326C" w:rsidRPr="00CD1FD1">
        <w:rPr>
          <w:rFonts w:ascii="Museo Sans 300" w:hAnsi="Museo Sans 300"/>
          <w:b/>
          <w:sz w:val="22"/>
          <w:szCs w:val="22"/>
          <w:lang w:val="es-MX"/>
        </w:rPr>
        <w:t xml:space="preserve"> de 2022</w:t>
      </w:r>
    </w:p>
    <w:p w:rsidR="003B6415" w:rsidRDefault="003B6415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(En millones de US$)</w:t>
      </w:r>
    </w:p>
    <w:bookmarkEnd w:id="5"/>
    <w:bookmarkEnd w:id="45"/>
    <w:p w:rsidR="00936D5E" w:rsidRPr="00CD1FD1" w:rsidRDefault="00FF543E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FF543E">
        <w:rPr>
          <w:noProof/>
        </w:rPr>
        <w:drawing>
          <wp:inline distT="0" distB="0" distL="0" distR="0" wp14:anchorId="5D771497" wp14:editId="3C5DC5D0">
            <wp:extent cx="5440045" cy="7799070"/>
            <wp:effectExtent l="0" t="0" r="825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77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D5E" w:rsidRPr="00CD1FD1" w:rsidSect="00D703ED">
      <w:footerReference w:type="default" r:id="rId27"/>
      <w:pgSz w:w="12240" w:h="15840"/>
      <w:pgMar w:top="1418" w:right="1418" w:bottom="12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23" w:rsidRDefault="00B11A23" w:rsidP="00610721">
      <w:r>
        <w:separator/>
      </w:r>
    </w:p>
  </w:endnote>
  <w:endnote w:type="continuationSeparator" w:id="0">
    <w:p w:rsidR="00B11A23" w:rsidRDefault="00B11A23" w:rsidP="0061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167" w:rsidRDefault="003C216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CD0120">
      <w:rPr>
        <w:noProof/>
        <w:lang w:val="es-ES"/>
      </w:rPr>
      <w:t>26</w:t>
    </w:r>
    <w:r>
      <w:fldChar w:fldCharType="end"/>
    </w:r>
  </w:p>
  <w:p w:rsidR="003C2167" w:rsidRDefault="003C2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23" w:rsidRDefault="00B11A23" w:rsidP="00610721">
      <w:r>
        <w:separator/>
      </w:r>
    </w:p>
  </w:footnote>
  <w:footnote w:type="continuationSeparator" w:id="0">
    <w:p w:rsidR="00B11A23" w:rsidRDefault="00B11A23" w:rsidP="00610721">
      <w:r>
        <w:continuationSeparator/>
      </w:r>
    </w:p>
  </w:footnote>
  <w:footnote w:id="1">
    <w:p w:rsidR="003C2167" w:rsidRPr="00C7623F" w:rsidRDefault="003C2167" w:rsidP="005B3920">
      <w:pPr>
        <w:pStyle w:val="FootnoteText"/>
        <w:rPr>
          <w:lang w:val="es-SV"/>
        </w:rPr>
      </w:pPr>
      <w:r>
        <w:rPr>
          <w:rStyle w:val="FootnoteReference"/>
        </w:rPr>
        <w:footnoteRef/>
      </w:r>
      <w:r>
        <w:t xml:space="preserve"> </w:t>
      </w:r>
      <w:r w:rsidRPr="00C7623F">
        <w:rPr>
          <w:rFonts w:ascii="Candara" w:hAnsi="Candara"/>
          <w:i/>
        </w:rPr>
        <w:t>excluye el pago de intereses de la deuda pública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C32"/>
    <w:multiLevelType w:val="hybridMultilevel"/>
    <w:tmpl w:val="AAB0A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02"/>
    <w:multiLevelType w:val="hybridMultilevel"/>
    <w:tmpl w:val="A6BC2F18"/>
    <w:lvl w:ilvl="0" w:tplc="8E9A18B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395"/>
    <w:multiLevelType w:val="hybridMultilevel"/>
    <w:tmpl w:val="DF14B9F6"/>
    <w:lvl w:ilvl="0" w:tplc="CC30CB54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4BB"/>
    <w:multiLevelType w:val="hybridMultilevel"/>
    <w:tmpl w:val="6298C25E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2BB2911"/>
    <w:multiLevelType w:val="hybridMultilevel"/>
    <w:tmpl w:val="F90C0182"/>
    <w:lvl w:ilvl="0" w:tplc="4E36E7EC">
      <w:start w:val="2"/>
      <w:numFmt w:val="bullet"/>
      <w:lvlText w:val="-"/>
      <w:lvlJc w:val="left"/>
      <w:pPr>
        <w:ind w:left="305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5" w15:restartNumberingAfterBreak="0">
    <w:nsid w:val="240F0F22"/>
    <w:multiLevelType w:val="hybridMultilevel"/>
    <w:tmpl w:val="CC28AE1A"/>
    <w:lvl w:ilvl="0" w:tplc="DE96AF40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357"/>
    <w:multiLevelType w:val="hybridMultilevel"/>
    <w:tmpl w:val="FD8ECF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8F4"/>
    <w:multiLevelType w:val="hybridMultilevel"/>
    <w:tmpl w:val="D4A43B78"/>
    <w:lvl w:ilvl="0" w:tplc="1B5AA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649"/>
    <w:multiLevelType w:val="hybridMultilevel"/>
    <w:tmpl w:val="8AA6A6F0"/>
    <w:lvl w:ilvl="0" w:tplc="440A0017">
      <w:start w:val="1"/>
      <w:numFmt w:val="lowerLetter"/>
      <w:lvlText w:val="%1)"/>
      <w:lvlJc w:val="left"/>
      <w:pPr>
        <w:ind w:left="786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270A0"/>
    <w:multiLevelType w:val="hybridMultilevel"/>
    <w:tmpl w:val="CDFCB7C0"/>
    <w:lvl w:ilvl="0" w:tplc="4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457E389F"/>
    <w:multiLevelType w:val="hybridMultilevel"/>
    <w:tmpl w:val="8402E16C"/>
    <w:lvl w:ilvl="0" w:tplc="4314EC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68704B"/>
    <w:multiLevelType w:val="multilevel"/>
    <w:tmpl w:val="57BAFE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BA2745"/>
    <w:multiLevelType w:val="hybridMultilevel"/>
    <w:tmpl w:val="BEDC7E22"/>
    <w:lvl w:ilvl="0" w:tplc="D116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7E1"/>
    <w:multiLevelType w:val="hybridMultilevel"/>
    <w:tmpl w:val="7E8A0978"/>
    <w:lvl w:ilvl="0" w:tplc="98F0C3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40A0019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5A1B1F"/>
    <w:multiLevelType w:val="hybridMultilevel"/>
    <w:tmpl w:val="31AAB91E"/>
    <w:lvl w:ilvl="0" w:tplc="440A0017">
      <w:start w:val="1"/>
      <w:numFmt w:val="lowerLetter"/>
      <w:lvlText w:val="%1)"/>
      <w:lvlJc w:val="left"/>
      <w:pPr>
        <w:ind w:left="1004" w:hanging="360"/>
      </w:p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BE67EF"/>
    <w:multiLevelType w:val="hybridMultilevel"/>
    <w:tmpl w:val="F8E898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32790"/>
    <w:multiLevelType w:val="hybridMultilevel"/>
    <w:tmpl w:val="C680A566"/>
    <w:lvl w:ilvl="0" w:tplc="DA36E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3AD1"/>
    <w:multiLevelType w:val="hybridMultilevel"/>
    <w:tmpl w:val="548E3404"/>
    <w:lvl w:ilvl="0" w:tplc="E710CCE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46B4"/>
    <w:multiLevelType w:val="hybridMultilevel"/>
    <w:tmpl w:val="185CFC94"/>
    <w:lvl w:ilvl="0" w:tplc="594EA218">
      <w:numFmt w:val="bullet"/>
      <w:lvlText w:val="-"/>
      <w:lvlJc w:val="left"/>
      <w:pPr>
        <w:ind w:left="3675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9" w15:restartNumberingAfterBreak="0">
    <w:nsid w:val="76003CB1"/>
    <w:multiLevelType w:val="multilevel"/>
    <w:tmpl w:val="A62E9E88"/>
    <w:lvl w:ilvl="0">
      <w:start w:val="1"/>
      <w:numFmt w:val="decimal"/>
      <w:lvlRestart w:val="0"/>
      <w:pStyle w:val="Outline1L1"/>
      <w:lvlText w:val="%1."/>
      <w:lvlJc w:val="left"/>
      <w:pPr>
        <w:tabs>
          <w:tab w:val="num" w:pos="2139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Outline1L2"/>
      <w:lvlText w:val="%2."/>
      <w:lvlJc w:val="left"/>
      <w:pPr>
        <w:tabs>
          <w:tab w:val="num" w:pos="1531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Outline1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pStyle w:val="Outline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Outline1L5"/>
      <w:lvlText w:val="(%5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Outline1L6"/>
      <w:lvlText w:val="(%6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78954222"/>
    <w:multiLevelType w:val="hybridMultilevel"/>
    <w:tmpl w:val="3EFA8EDA"/>
    <w:lvl w:ilvl="0" w:tplc="18280B5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8"/>
  </w:num>
  <w:num w:numId="7">
    <w:abstractNumId w:val="1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F5"/>
    <w:rsid w:val="0000234B"/>
    <w:rsid w:val="00002A15"/>
    <w:rsid w:val="00003DBE"/>
    <w:rsid w:val="00003E71"/>
    <w:rsid w:val="000044A6"/>
    <w:rsid w:val="00004AC1"/>
    <w:rsid w:val="00005394"/>
    <w:rsid w:val="00005DE7"/>
    <w:rsid w:val="000060C4"/>
    <w:rsid w:val="0000636C"/>
    <w:rsid w:val="0000767E"/>
    <w:rsid w:val="00007F40"/>
    <w:rsid w:val="000107EC"/>
    <w:rsid w:val="000125BF"/>
    <w:rsid w:val="000129CE"/>
    <w:rsid w:val="00013FBA"/>
    <w:rsid w:val="00014440"/>
    <w:rsid w:val="00014666"/>
    <w:rsid w:val="0001700F"/>
    <w:rsid w:val="00024EB8"/>
    <w:rsid w:val="0002562B"/>
    <w:rsid w:val="00026278"/>
    <w:rsid w:val="00026371"/>
    <w:rsid w:val="0003199D"/>
    <w:rsid w:val="00032F0C"/>
    <w:rsid w:val="00033BDB"/>
    <w:rsid w:val="000350BD"/>
    <w:rsid w:val="00035936"/>
    <w:rsid w:val="000368FE"/>
    <w:rsid w:val="00036A8F"/>
    <w:rsid w:val="00036C58"/>
    <w:rsid w:val="00036F93"/>
    <w:rsid w:val="00042C94"/>
    <w:rsid w:val="00044088"/>
    <w:rsid w:val="00045C77"/>
    <w:rsid w:val="00046DCB"/>
    <w:rsid w:val="00046F1C"/>
    <w:rsid w:val="00047EAE"/>
    <w:rsid w:val="000504B7"/>
    <w:rsid w:val="00050721"/>
    <w:rsid w:val="00051CE0"/>
    <w:rsid w:val="00051DD1"/>
    <w:rsid w:val="00055088"/>
    <w:rsid w:val="00055C6D"/>
    <w:rsid w:val="000563D5"/>
    <w:rsid w:val="0005706F"/>
    <w:rsid w:val="00057584"/>
    <w:rsid w:val="00057E16"/>
    <w:rsid w:val="0006008B"/>
    <w:rsid w:val="0006124F"/>
    <w:rsid w:val="00063635"/>
    <w:rsid w:val="000655D5"/>
    <w:rsid w:val="00065616"/>
    <w:rsid w:val="00067A82"/>
    <w:rsid w:val="0007071E"/>
    <w:rsid w:val="00071875"/>
    <w:rsid w:val="00072BB0"/>
    <w:rsid w:val="0007316A"/>
    <w:rsid w:val="000737F7"/>
    <w:rsid w:val="00073DF6"/>
    <w:rsid w:val="00073ED0"/>
    <w:rsid w:val="00074856"/>
    <w:rsid w:val="000766A1"/>
    <w:rsid w:val="00077245"/>
    <w:rsid w:val="0007724F"/>
    <w:rsid w:val="00077425"/>
    <w:rsid w:val="00080493"/>
    <w:rsid w:val="0008095D"/>
    <w:rsid w:val="00080BF7"/>
    <w:rsid w:val="00081874"/>
    <w:rsid w:val="000827C3"/>
    <w:rsid w:val="00083368"/>
    <w:rsid w:val="000850BF"/>
    <w:rsid w:val="00085376"/>
    <w:rsid w:val="00085CF5"/>
    <w:rsid w:val="00090A01"/>
    <w:rsid w:val="00091CEA"/>
    <w:rsid w:val="00091E47"/>
    <w:rsid w:val="00092055"/>
    <w:rsid w:val="00092B07"/>
    <w:rsid w:val="000932FA"/>
    <w:rsid w:val="000933AC"/>
    <w:rsid w:val="000938EC"/>
    <w:rsid w:val="000941DF"/>
    <w:rsid w:val="000947A2"/>
    <w:rsid w:val="00095A8C"/>
    <w:rsid w:val="000962EE"/>
    <w:rsid w:val="000A0064"/>
    <w:rsid w:val="000A05C1"/>
    <w:rsid w:val="000A099C"/>
    <w:rsid w:val="000A1ECC"/>
    <w:rsid w:val="000A36F3"/>
    <w:rsid w:val="000A43ED"/>
    <w:rsid w:val="000A4F43"/>
    <w:rsid w:val="000A6355"/>
    <w:rsid w:val="000A6A22"/>
    <w:rsid w:val="000B0C19"/>
    <w:rsid w:val="000B0EA6"/>
    <w:rsid w:val="000B1B60"/>
    <w:rsid w:val="000B28C1"/>
    <w:rsid w:val="000B2D4F"/>
    <w:rsid w:val="000B31AE"/>
    <w:rsid w:val="000B32B3"/>
    <w:rsid w:val="000B427B"/>
    <w:rsid w:val="000B42D8"/>
    <w:rsid w:val="000B4C23"/>
    <w:rsid w:val="000B5129"/>
    <w:rsid w:val="000B601E"/>
    <w:rsid w:val="000B6214"/>
    <w:rsid w:val="000B7219"/>
    <w:rsid w:val="000B7385"/>
    <w:rsid w:val="000B748E"/>
    <w:rsid w:val="000B7871"/>
    <w:rsid w:val="000C0647"/>
    <w:rsid w:val="000C08C9"/>
    <w:rsid w:val="000C0E74"/>
    <w:rsid w:val="000C2D4E"/>
    <w:rsid w:val="000C47AE"/>
    <w:rsid w:val="000C6FC2"/>
    <w:rsid w:val="000C7415"/>
    <w:rsid w:val="000C7ECF"/>
    <w:rsid w:val="000D0149"/>
    <w:rsid w:val="000D0EF9"/>
    <w:rsid w:val="000D207D"/>
    <w:rsid w:val="000D2121"/>
    <w:rsid w:val="000D3EF4"/>
    <w:rsid w:val="000D3F00"/>
    <w:rsid w:val="000D45B5"/>
    <w:rsid w:val="000D576E"/>
    <w:rsid w:val="000D61F4"/>
    <w:rsid w:val="000D7396"/>
    <w:rsid w:val="000E0CCD"/>
    <w:rsid w:val="000E1361"/>
    <w:rsid w:val="000E3D52"/>
    <w:rsid w:val="000E40ED"/>
    <w:rsid w:val="000E7DEC"/>
    <w:rsid w:val="000F2598"/>
    <w:rsid w:val="000F3F1D"/>
    <w:rsid w:val="000F5152"/>
    <w:rsid w:val="000F6407"/>
    <w:rsid w:val="000F7482"/>
    <w:rsid w:val="000F7857"/>
    <w:rsid w:val="00101DFA"/>
    <w:rsid w:val="00103F6B"/>
    <w:rsid w:val="00105ABD"/>
    <w:rsid w:val="00105D78"/>
    <w:rsid w:val="00106534"/>
    <w:rsid w:val="00110940"/>
    <w:rsid w:val="0011125B"/>
    <w:rsid w:val="00114394"/>
    <w:rsid w:val="00120199"/>
    <w:rsid w:val="00120C00"/>
    <w:rsid w:val="00121393"/>
    <w:rsid w:val="00121B44"/>
    <w:rsid w:val="001228A5"/>
    <w:rsid w:val="00123067"/>
    <w:rsid w:val="0012502A"/>
    <w:rsid w:val="00125881"/>
    <w:rsid w:val="0012602E"/>
    <w:rsid w:val="0012688D"/>
    <w:rsid w:val="00130C04"/>
    <w:rsid w:val="00133419"/>
    <w:rsid w:val="00134372"/>
    <w:rsid w:val="0013549A"/>
    <w:rsid w:val="00135E70"/>
    <w:rsid w:val="00135EAC"/>
    <w:rsid w:val="00135FB8"/>
    <w:rsid w:val="001366A0"/>
    <w:rsid w:val="00136F4C"/>
    <w:rsid w:val="00137776"/>
    <w:rsid w:val="00137B38"/>
    <w:rsid w:val="0014194D"/>
    <w:rsid w:val="0014197A"/>
    <w:rsid w:val="00142BDD"/>
    <w:rsid w:val="00143C05"/>
    <w:rsid w:val="00145091"/>
    <w:rsid w:val="00146B37"/>
    <w:rsid w:val="00150E30"/>
    <w:rsid w:val="00151522"/>
    <w:rsid w:val="00151722"/>
    <w:rsid w:val="001521BC"/>
    <w:rsid w:val="00152F95"/>
    <w:rsid w:val="00153163"/>
    <w:rsid w:val="001536B2"/>
    <w:rsid w:val="0015449B"/>
    <w:rsid w:val="00154F8E"/>
    <w:rsid w:val="001553A6"/>
    <w:rsid w:val="001564E8"/>
    <w:rsid w:val="00160CCF"/>
    <w:rsid w:val="00163FA1"/>
    <w:rsid w:val="00164E11"/>
    <w:rsid w:val="0016536C"/>
    <w:rsid w:val="00165910"/>
    <w:rsid w:val="00167CCD"/>
    <w:rsid w:val="00167F36"/>
    <w:rsid w:val="00170628"/>
    <w:rsid w:val="00170BAE"/>
    <w:rsid w:val="00173880"/>
    <w:rsid w:val="00173EC7"/>
    <w:rsid w:val="00174C2A"/>
    <w:rsid w:val="001753A7"/>
    <w:rsid w:val="00176150"/>
    <w:rsid w:val="00176184"/>
    <w:rsid w:val="00177F94"/>
    <w:rsid w:val="00177FFE"/>
    <w:rsid w:val="00180154"/>
    <w:rsid w:val="00180642"/>
    <w:rsid w:val="0018146E"/>
    <w:rsid w:val="00182A89"/>
    <w:rsid w:val="00184DB4"/>
    <w:rsid w:val="001876A8"/>
    <w:rsid w:val="001902A4"/>
    <w:rsid w:val="001909E4"/>
    <w:rsid w:val="00190B09"/>
    <w:rsid w:val="00190F50"/>
    <w:rsid w:val="001910E2"/>
    <w:rsid w:val="00191565"/>
    <w:rsid w:val="00193C94"/>
    <w:rsid w:val="001942CF"/>
    <w:rsid w:val="001942E2"/>
    <w:rsid w:val="00194BB2"/>
    <w:rsid w:val="00194D12"/>
    <w:rsid w:val="00194FEF"/>
    <w:rsid w:val="001965FB"/>
    <w:rsid w:val="001968FE"/>
    <w:rsid w:val="0019773D"/>
    <w:rsid w:val="00197782"/>
    <w:rsid w:val="001A0A78"/>
    <w:rsid w:val="001A2FDC"/>
    <w:rsid w:val="001A37E6"/>
    <w:rsid w:val="001A43A7"/>
    <w:rsid w:val="001A49A6"/>
    <w:rsid w:val="001A4F17"/>
    <w:rsid w:val="001A5F4B"/>
    <w:rsid w:val="001A6388"/>
    <w:rsid w:val="001A7412"/>
    <w:rsid w:val="001B0E38"/>
    <w:rsid w:val="001B1625"/>
    <w:rsid w:val="001B1836"/>
    <w:rsid w:val="001B3135"/>
    <w:rsid w:val="001B3951"/>
    <w:rsid w:val="001B3A46"/>
    <w:rsid w:val="001B4677"/>
    <w:rsid w:val="001B4A0A"/>
    <w:rsid w:val="001B4B16"/>
    <w:rsid w:val="001B5B81"/>
    <w:rsid w:val="001B73D1"/>
    <w:rsid w:val="001B7B61"/>
    <w:rsid w:val="001C00F7"/>
    <w:rsid w:val="001C0639"/>
    <w:rsid w:val="001C3356"/>
    <w:rsid w:val="001C3602"/>
    <w:rsid w:val="001C450E"/>
    <w:rsid w:val="001C4836"/>
    <w:rsid w:val="001C5CA7"/>
    <w:rsid w:val="001C7095"/>
    <w:rsid w:val="001C7F84"/>
    <w:rsid w:val="001D0021"/>
    <w:rsid w:val="001D0083"/>
    <w:rsid w:val="001D0BF2"/>
    <w:rsid w:val="001D135A"/>
    <w:rsid w:val="001D261B"/>
    <w:rsid w:val="001D3263"/>
    <w:rsid w:val="001D7D68"/>
    <w:rsid w:val="001E11BF"/>
    <w:rsid w:val="001E160B"/>
    <w:rsid w:val="001E1C63"/>
    <w:rsid w:val="001E1FEB"/>
    <w:rsid w:val="001E30F7"/>
    <w:rsid w:val="001E4553"/>
    <w:rsid w:val="001E765F"/>
    <w:rsid w:val="001F0A4D"/>
    <w:rsid w:val="001F21F6"/>
    <w:rsid w:val="001F3310"/>
    <w:rsid w:val="001F3912"/>
    <w:rsid w:val="001F50C9"/>
    <w:rsid w:val="001F6DC0"/>
    <w:rsid w:val="00200744"/>
    <w:rsid w:val="00201628"/>
    <w:rsid w:val="00203AB1"/>
    <w:rsid w:val="00203AF4"/>
    <w:rsid w:val="002053D6"/>
    <w:rsid w:val="002056DE"/>
    <w:rsid w:val="00206A51"/>
    <w:rsid w:val="00206D87"/>
    <w:rsid w:val="00212C48"/>
    <w:rsid w:val="00212E93"/>
    <w:rsid w:val="002132B3"/>
    <w:rsid w:val="002144EA"/>
    <w:rsid w:val="00214645"/>
    <w:rsid w:val="00216005"/>
    <w:rsid w:val="00216368"/>
    <w:rsid w:val="00217169"/>
    <w:rsid w:val="002204C7"/>
    <w:rsid w:val="00220653"/>
    <w:rsid w:val="002207BF"/>
    <w:rsid w:val="002254AF"/>
    <w:rsid w:val="0022571A"/>
    <w:rsid w:val="0022689B"/>
    <w:rsid w:val="00226B11"/>
    <w:rsid w:val="00226DE2"/>
    <w:rsid w:val="00227E46"/>
    <w:rsid w:val="002311FD"/>
    <w:rsid w:val="00231A48"/>
    <w:rsid w:val="00231F0C"/>
    <w:rsid w:val="00233051"/>
    <w:rsid w:val="002332A9"/>
    <w:rsid w:val="00234570"/>
    <w:rsid w:val="00235C31"/>
    <w:rsid w:val="00235F12"/>
    <w:rsid w:val="002407F1"/>
    <w:rsid w:val="00240E05"/>
    <w:rsid w:val="00241A25"/>
    <w:rsid w:val="00242E64"/>
    <w:rsid w:val="002441FD"/>
    <w:rsid w:val="00244359"/>
    <w:rsid w:val="002464BF"/>
    <w:rsid w:val="00247F7F"/>
    <w:rsid w:val="00251374"/>
    <w:rsid w:val="00251547"/>
    <w:rsid w:val="002520D9"/>
    <w:rsid w:val="00256608"/>
    <w:rsid w:val="0026097D"/>
    <w:rsid w:val="00262E33"/>
    <w:rsid w:val="00262F33"/>
    <w:rsid w:val="0026607B"/>
    <w:rsid w:val="002679B5"/>
    <w:rsid w:val="00267DFC"/>
    <w:rsid w:val="00270CC7"/>
    <w:rsid w:val="00272A8F"/>
    <w:rsid w:val="00276377"/>
    <w:rsid w:val="002766D8"/>
    <w:rsid w:val="00280D3C"/>
    <w:rsid w:val="0028261B"/>
    <w:rsid w:val="00282977"/>
    <w:rsid w:val="00283934"/>
    <w:rsid w:val="00283D97"/>
    <w:rsid w:val="00284EF3"/>
    <w:rsid w:val="00285FD5"/>
    <w:rsid w:val="00286327"/>
    <w:rsid w:val="0028723E"/>
    <w:rsid w:val="002874F2"/>
    <w:rsid w:val="00287807"/>
    <w:rsid w:val="00290D10"/>
    <w:rsid w:val="00291B03"/>
    <w:rsid w:val="00292299"/>
    <w:rsid w:val="002928EA"/>
    <w:rsid w:val="00292F86"/>
    <w:rsid w:val="002A0027"/>
    <w:rsid w:val="002A0964"/>
    <w:rsid w:val="002A147C"/>
    <w:rsid w:val="002A14D2"/>
    <w:rsid w:val="002A264C"/>
    <w:rsid w:val="002A2E39"/>
    <w:rsid w:val="002A37DF"/>
    <w:rsid w:val="002A48AD"/>
    <w:rsid w:val="002A59F7"/>
    <w:rsid w:val="002A7A67"/>
    <w:rsid w:val="002B07DA"/>
    <w:rsid w:val="002B0B6C"/>
    <w:rsid w:val="002B2116"/>
    <w:rsid w:val="002B214B"/>
    <w:rsid w:val="002B2D0E"/>
    <w:rsid w:val="002B3D07"/>
    <w:rsid w:val="002B4222"/>
    <w:rsid w:val="002B4365"/>
    <w:rsid w:val="002B45FB"/>
    <w:rsid w:val="002B48D7"/>
    <w:rsid w:val="002B696D"/>
    <w:rsid w:val="002B76EB"/>
    <w:rsid w:val="002C22E7"/>
    <w:rsid w:val="002C3B4A"/>
    <w:rsid w:val="002C3C06"/>
    <w:rsid w:val="002C5629"/>
    <w:rsid w:val="002C5F4D"/>
    <w:rsid w:val="002C6F24"/>
    <w:rsid w:val="002C79A8"/>
    <w:rsid w:val="002D01D4"/>
    <w:rsid w:val="002D0CAC"/>
    <w:rsid w:val="002D2C69"/>
    <w:rsid w:val="002D2D0A"/>
    <w:rsid w:val="002D4F30"/>
    <w:rsid w:val="002D5BD4"/>
    <w:rsid w:val="002E1B9C"/>
    <w:rsid w:val="002E1F4E"/>
    <w:rsid w:val="002E2F08"/>
    <w:rsid w:val="002E5A52"/>
    <w:rsid w:val="002E5DE2"/>
    <w:rsid w:val="002F0601"/>
    <w:rsid w:val="002F0FC6"/>
    <w:rsid w:val="002F1C96"/>
    <w:rsid w:val="002F24E8"/>
    <w:rsid w:val="002F28DF"/>
    <w:rsid w:val="002F3838"/>
    <w:rsid w:val="002F3FB5"/>
    <w:rsid w:val="002F44DD"/>
    <w:rsid w:val="002F7EAB"/>
    <w:rsid w:val="003007E1"/>
    <w:rsid w:val="00302300"/>
    <w:rsid w:val="0030305A"/>
    <w:rsid w:val="00305721"/>
    <w:rsid w:val="0030584A"/>
    <w:rsid w:val="00307EF7"/>
    <w:rsid w:val="0031164C"/>
    <w:rsid w:val="00312079"/>
    <w:rsid w:val="0031413C"/>
    <w:rsid w:val="0031449E"/>
    <w:rsid w:val="00314E3D"/>
    <w:rsid w:val="003155C6"/>
    <w:rsid w:val="0031628B"/>
    <w:rsid w:val="00316C4E"/>
    <w:rsid w:val="003200B1"/>
    <w:rsid w:val="00322975"/>
    <w:rsid w:val="00324C0A"/>
    <w:rsid w:val="0032502A"/>
    <w:rsid w:val="003259AA"/>
    <w:rsid w:val="00325B93"/>
    <w:rsid w:val="00326061"/>
    <w:rsid w:val="00326C65"/>
    <w:rsid w:val="00326D1E"/>
    <w:rsid w:val="00327718"/>
    <w:rsid w:val="00327D59"/>
    <w:rsid w:val="00331CF9"/>
    <w:rsid w:val="003325EA"/>
    <w:rsid w:val="00333D48"/>
    <w:rsid w:val="0033442F"/>
    <w:rsid w:val="00334A38"/>
    <w:rsid w:val="00334CA7"/>
    <w:rsid w:val="0033678D"/>
    <w:rsid w:val="00340B9B"/>
    <w:rsid w:val="00340E6B"/>
    <w:rsid w:val="0034191D"/>
    <w:rsid w:val="0034231B"/>
    <w:rsid w:val="0034320E"/>
    <w:rsid w:val="00343303"/>
    <w:rsid w:val="00343ED4"/>
    <w:rsid w:val="00344144"/>
    <w:rsid w:val="0034467E"/>
    <w:rsid w:val="003448F3"/>
    <w:rsid w:val="003451BD"/>
    <w:rsid w:val="00345390"/>
    <w:rsid w:val="003454B9"/>
    <w:rsid w:val="00345590"/>
    <w:rsid w:val="0034685B"/>
    <w:rsid w:val="00346A83"/>
    <w:rsid w:val="00347694"/>
    <w:rsid w:val="003502E8"/>
    <w:rsid w:val="00350424"/>
    <w:rsid w:val="00350D29"/>
    <w:rsid w:val="00351219"/>
    <w:rsid w:val="00351330"/>
    <w:rsid w:val="0035232F"/>
    <w:rsid w:val="0035322E"/>
    <w:rsid w:val="00353EE6"/>
    <w:rsid w:val="00353F79"/>
    <w:rsid w:val="0035404D"/>
    <w:rsid w:val="00354A15"/>
    <w:rsid w:val="00355BF7"/>
    <w:rsid w:val="00355D4B"/>
    <w:rsid w:val="00355FBB"/>
    <w:rsid w:val="003562F7"/>
    <w:rsid w:val="00361220"/>
    <w:rsid w:val="00365457"/>
    <w:rsid w:val="00371731"/>
    <w:rsid w:val="00371E6D"/>
    <w:rsid w:val="00373397"/>
    <w:rsid w:val="00373CBD"/>
    <w:rsid w:val="0037505A"/>
    <w:rsid w:val="00377659"/>
    <w:rsid w:val="00380002"/>
    <w:rsid w:val="00380583"/>
    <w:rsid w:val="00382BE0"/>
    <w:rsid w:val="00383CBC"/>
    <w:rsid w:val="00386BC0"/>
    <w:rsid w:val="00387F5A"/>
    <w:rsid w:val="00390F5A"/>
    <w:rsid w:val="003914B5"/>
    <w:rsid w:val="00391D10"/>
    <w:rsid w:val="00391D19"/>
    <w:rsid w:val="003925C0"/>
    <w:rsid w:val="00392F86"/>
    <w:rsid w:val="00393D4B"/>
    <w:rsid w:val="003946BF"/>
    <w:rsid w:val="0039588B"/>
    <w:rsid w:val="0039592C"/>
    <w:rsid w:val="00395A44"/>
    <w:rsid w:val="003962FB"/>
    <w:rsid w:val="00396314"/>
    <w:rsid w:val="00397B23"/>
    <w:rsid w:val="003A0898"/>
    <w:rsid w:val="003A5508"/>
    <w:rsid w:val="003A60C7"/>
    <w:rsid w:val="003A6A53"/>
    <w:rsid w:val="003B0815"/>
    <w:rsid w:val="003B0D47"/>
    <w:rsid w:val="003B2BE7"/>
    <w:rsid w:val="003B305D"/>
    <w:rsid w:val="003B4A01"/>
    <w:rsid w:val="003B5F59"/>
    <w:rsid w:val="003B6035"/>
    <w:rsid w:val="003B6415"/>
    <w:rsid w:val="003B6B25"/>
    <w:rsid w:val="003B6B58"/>
    <w:rsid w:val="003B736D"/>
    <w:rsid w:val="003B7A07"/>
    <w:rsid w:val="003C2167"/>
    <w:rsid w:val="003C2B1E"/>
    <w:rsid w:val="003C33B3"/>
    <w:rsid w:val="003C3DC4"/>
    <w:rsid w:val="003C4732"/>
    <w:rsid w:val="003C618A"/>
    <w:rsid w:val="003C71A7"/>
    <w:rsid w:val="003C7532"/>
    <w:rsid w:val="003D01C6"/>
    <w:rsid w:val="003D0AED"/>
    <w:rsid w:val="003D10A0"/>
    <w:rsid w:val="003D15B7"/>
    <w:rsid w:val="003D1FC5"/>
    <w:rsid w:val="003D20F4"/>
    <w:rsid w:val="003D4107"/>
    <w:rsid w:val="003D46A2"/>
    <w:rsid w:val="003D4C8A"/>
    <w:rsid w:val="003D5D95"/>
    <w:rsid w:val="003D7390"/>
    <w:rsid w:val="003E0088"/>
    <w:rsid w:val="003E28F3"/>
    <w:rsid w:val="003E705F"/>
    <w:rsid w:val="003E7E20"/>
    <w:rsid w:val="003E7EAD"/>
    <w:rsid w:val="003F0AF7"/>
    <w:rsid w:val="003F0B3F"/>
    <w:rsid w:val="003F173C"/>
    <w:rsid w:val="003F234D"/>
    <w:rsid w:val="003F3081"/>
    <w:rsid w:val="003F333F"/>
    <w:rsid w:val="003F6998"/>
    <w:rsid w:val="003F74EF"/>
    <w:rsid w:val="00401098"/>
    <w:rsid w:val="004023E2"/>
    <w:rsid w:val="00404593"/>
    <w:rsid w:val="00404784"/>
    <w:rsid w:val="00404C90"/>
    <w:rsid w:val="00404D93"/>
    <w:rsid w:val="004066E9"/>
    <w:rsid w:val="00406B50"/>
    <w:rsid w:val="004112CF"/>
    <w:rsid w:val="00411F3D"/>
    <w:rsid w:val="0041229D"/>
    <w:rsid w:val="00412B47"/>
    <w:rsid w:val="004132CF"/>
    <w:rsid w:val="00414FA5"/>
    <w:rsid w:val="0041595F"/>
    <w:rsid w:val="0041785E"/>
    <w:rsid w:val="00420EE2"/>
    <w:rsid w:val="00423C68"/>
    <w:rsid w:val="004249A7"/>
    <w:rsid w:val="00424F80"/>
    <w:rsid w:val="00425283"/>
    <w:rsid w:val="004257AD"/>
    <w:rsid w:val="0042754D"/>
    <w:rsid w:val="00427FFA"/>
    <w:rsid w:val="00432D04"/>
    <w:rsid w:val="00432D7C"/>
    <w:rsid w:val="0043717D"/>
    <w:rsid w:val="00437E77"/>
    <w:rsid w:val="00440767"/>
    <w:rsid w:val="00440C09"/>
    <w:rsid w:val="004423E5"/>
    <w:rsid w:val="00442690"/>
    <w:rsid w:val="00442DE5"/>
    <w:rsid w:val="0044329E"/>
    <w:rsid w:val="0044457B"/>
    <w:rsid w:val="00444832"/>
    <w:rsid w:val="00444A54"/>
    <w:rsid w:val="004464E8"/>
    <w:rsid w:val="00447311"/>
    <w:rsid w:val="00447AE4"/>
    <w:rsid w:val="00447D6A"/>
    <w:rsid w:val="00447FC7"/>
    <w:rsid w:val="004500A9"/>
    <w:rsid w:val="0045512F"/>
    <w:rsid w:val="004552A7"/>
    <w:rsid w:val="00455BDD"/>
    <w:rsid w:val="00456CE0"/>
    <w:rsid w:val="0045774A"/>
    <w:rsid w:val="004605D3"/>
    <w:rsid w:val="00461174"/>
    <w:rsid w:val="00463142"/>
    <w:rsid w:val="00464D50"/>
    <w:rsid w:val="004656B1"/>
    <w:rsid w:val="00467ADA"/>
    <w:rsid w:val="00470545"/>
    <w:rsid w:val="00471761"/>
    <w:rsid w:val="00472EA3"/>
    <w:rsid w:val="0047332F"/>
    <w:rsid w:val="004747AC"/>
    <w:rsid w:val="00476577"/>
    <w:rsid w:val="00476585"/>
    <w:rsid w:val="00477396"/>
    <w:rsid w:val="00477B44"/>
    <w:rsid w:val="0048081A"/>
    <w:rsid w:val="00481AC8"/>
    <w:rsid w:val="00481CE0"/>
    <w:rsid w:val="00483524"/>
    <w:rsid w:val="00484EE7"/>
    <w:rsid w:val="00484F7A"/>
    <w:rsid w:val="0048579E"/>
    <w:rsid w:val="004870F6"/>
    <w:rsid w:val="00490398"/>
    <w:rsid w:val="004911E6"/>
    <w:rsid w:val="004923BB"/>
    <w:rsid w:val="00495B84"/>
    <w:rsid w:val="0049611D"/>
    <w:rsid w:val="00497100"/>
    <w:rsid w:val="0049769C"/>
    <w:rsid w:val="004A38F1"/>
    <w:rsid w:val="004A5630"/>
    <w:rsid w:val="004A685A"/>
    <w:rsid w:val="004A7D32"/>
    <w:rsid w:val="004B076D"/>
    <w:rsid w:val="004B086B"/>
    <w:rsid w:val="004B0E8A"/>
    <w:rsid w:val="004B0EC9"/>
    <w:rsid w:val="004B1AD2"/>
    <w:rsid w:val="004B3A6E"/>
    <w:rsid w:val="004B4137"/>
    <w:rsid w:val="004B4B21"/>
    <w:rsid w:val="004B4D8D"/>
    <w:rsid w:val="004B51FA"/>
    <w:rsid w:val="004B672B"/>
    <w:rsid w:val="004B6D59"/>
    <w:rsid w:val="004B7D62"/>
    <w:rsid w:val="004C19DD"/>
    <w:rsid w:val="004C27A3"/>
    <w:rsid w:val="004C2A20"/>
    <w:rsid w:val="004C3640"/>
    <w:rsid w:val="004C388F"/>
    <w:rsid w:val="004C442A"/>
    <w:rsid w:val="004C6B3D"/>
    <w:rsid w:val="004C7832"/>
    <w:rsid w:val="004C798A"/>
    <w:rsid w:val="004D0FDB"/>
    <w:rsid w:val="004D48E8"/>
    <w:rsid w:val="004D52F8"/>
    <w:rsid w:val="004D5475"/>
    <w:rsid w:val="004D5928"/>
    <w:rsid w:val="004D610B"/>
    <w:rsid w:val="004D61A0"/>
    <w:rsid w:val="004D69E9"/>
    <w:rsid w:val="004D7470"/>
    <w:rsid w:val="004E1067"/>
    <w:rsid w:val="004E1588"/>
    <w:rsid w:val="004E2CD7"/>
    <w:rsid w:val="004E2F03"/>
    <w:rsid w:val="004E5FE5"/>
    <w:rsid w:val="004E64B5"/>
    <w:rsid w:val="004E6C7E"/>
    <w:rsid w:val="004E71FF"/>
    <w:rsid w:val="004E7F64"/>
    <w:rsid w:val="004F1CB2"/>
    <w:rsid w:val="004F24E2"/>
    <w:rsid w:val="004F29B4"/>
    <w:rsid w:val="004F3C7F"/>
    <w:rsid w:val="004F4014"/>
    <w:rsid w:val="004F4FBF"/>
    <w:rsid w:val="004F599A"/>
    <w:rsid w:val="004F5B0E"/>
    <w:rsid w:val="004F752B"/>
    <w:rsid w:val="004F7889"/>
    <w:rsid w:val="004F798A"/>
    <w:rsid w:val="005007AD"/>
    <w:rsid w:val="00500DCB"/>
    <w:rsid w:val="00502982"/>
    <w:rsid w:val="005029B7"/>
    <w:rsid w:val="005117CB"/>
    <w:rsid w:val="00512A06"/>
    <w:rsid w:val="0051302E"/>
    <w:rsid w:val="00514A25"/>
    <w:rsid w:val="00516702"/>
    <w:rsid w:val="00516E10"/>
    <w:rsid w:val="00517C55"/>
    <w:rsid w:val="00521066"/>
    <w:rsid w:val="0052116C"/>
    <w:rsid w:val="0052381F"/>
    <w:rsid w:val="005238D0"/>
    <w:rsid w:val="005253EF"/>
    <w:rsid w:val="00525D04"/>
    <w:rsid w:val="00526328"/>
    <w:rsid w:val="00530B1E"/>
    <w:rsid w:val="00531219"/>
    <w:rsid w:val="005327AE"/>
    <w:rsid w:val="00532FE5"/>
    <w:rsid w:val="00533086"/>
    <w:rsid w:val="00533421"/>
    <w:rsid w:val="00533792"/>
    <w:rsid w:val="00533E72"/>
    <w:rsid w:val="005346AE"/>
    <w:rsid w:val="00534A24"/>
    <w:rsid w:val="00534ED5"/>
    <w:rsid w:val="005350F6"/>
    <w:rsid w:val="005362EA"/>
    <w:rsid w:val="00536AFE"/>
    <w:rsid w:val="00537002"/>
    <w:rsid w:val="005377EC"/>
    <w:rsid w:val="005400E9"/>
    <w:rsid w:val="0054677B"/>
    <w:rsid w:val="00546B00"/>
    <w:rsid w:val="00546C09"/>
    <w:rsid w:val="00546F81"/>
    <w:rsid w:val="00547C08"/>
    <w:rsid w:val="005525B4"/>
    <w:rsid w:val="005537E5"/>
    <w:rsid w:val="00553F35"/>
    <w:rsid w:val="00554E0F"/>
    <w:rsid w:val="00556662"/>
    <w:rsid w:val="005568F2"/>
    <w:rsid w:val="00556938"/>
    <w:rsid w:val="00560268"/>
    <w:rsid w:val="00561B8C"/>
    <w:rsid w:val="005631A4"/>
    <w:rsid w:val="00563A9A"/>
    <w:rsid w:val="00563EE7"/>
    <w:rsid w:val="005649A2"/>
    <w:rsid w:val="00565110"/>
    <w:rsid w:val="0056686F"/>
    <w:rsid w:val="00570C25"/>
    <w:rsid w:val="00572B4A"/>
    <w:rsid w:val="00574594"/>
    <w:rsid w:val="005767D6"/>
    <w:rsid w:val="005768FD"/>
    <w:rsid w:val="00577AFA"/>
    <w:rsid w:val="00580673"/>
    <w:rsid w:val="0058130F"/>
    <w:rsid w:val="00581B7E"/>
    <w:rsid w:val="005836C7"/>
    <w:rsid w:val="0058589C"/>
    <w:rsid w:val="00585D52"/>
    <w:rsid w:val="0058722D"/>
    <w:rsid w:val="0059027A"/>
    <w:rsid w:val="00590603"/>
    <w:rsid w:val="00591CA1"/>
    <w:rsid w:val="005924A9"/>
    <w:rsid w:val="00593A7A"/>
    <w:rsid w:val="00593B43"/>
    <w:rsid w:val="00593E2B"/>
    <w:rsid w:val="00594F1B"/>
    <w:rsid w:val="00595A01"/>
    <w:rsid w:val="005964B2"/>
    <w:rsid w:val="005964F2"/>
    <w:rsid w:val="00597BE5"/>
    <w:rsid w:val="005A155E"/>
    <w:rsid w:val="005A161D"/>
    <w:rsid w:val="005A3C10"/>
    <w:rsid w:val="005A4B08"/>
    <w:rsid w:val="005A4EF5"/>
    <w:rsid w:val="005A54D2"/>
    <w:rsid w:val="005A641D"/>
    <w:rsid w:val="005A69DC"/>
    <w:rsid w:val="005B16EB"/>
    <w:rsid w:val="005B1FBC"/>
    <w:rsid w:val="005B3920"/>
    <w:rsid w:val="005B3F0F"/>
    <w:rsid w:val="005B4A22"/>
    <w:rsid w:val="005B58F3"/>
    <w:rsid w:val="005B75AC"/>
    <w:rsid w:val="005B7CB9"/>
    <w:rsid w:val="005C168E"/>
    <w:rsid w:val="005C2296"/>
    <w:rsid w:val="005C33AE"/>
    <w:rsid w:val="005C3F01"/>
    <w:rsid w:val="005C4917"/>
    <w:rsid w:val="005C536F"/>
    <w:rsid w:val="005C5465"/>
    <w:rsid w:val="005C54C8"/>
    <w:rsid w:val="005C6C4D"/>
    <w:rsid w:val="005C7E03"/>
    <w:rsid w:val="005D11BE"/>
    <w:rsid w:val="005D15ED"/>
    <w:rsid w:val="005D179E"/>
    <w:rsid w:val="005D24E7"/>
    <w:rsid w:val="005D3504"/>
    <w:rsid w:val="005D4B58"/>
    <w:rsid w:val="005D5729"/>
    <w:rsid w:val="005D7D5B"/>
    <w:rsid w:val="005E0540"/>
    <w:rsid w:val="005E1A08"/>
    <w:rsid w:val="005E2F06"/>
    <w:rsid w:val="005E3176"/>
    <w:rsid w:val="005E3DA6"/>
    <w:rsid w:val="005E4441"/>
    <w:rsid w:val="005E7AAD"/>
    <w:rsid w:val="005F185C"/>
    <w:rsid w:val="005F2D5C"/>
    <w:rsid w:val="005F34A7"/>
    <w:rsid w:val="005F56B0"/>
    <w:rsid w:val="005F6341"/>
    <w:rsid w:val="005F69EB"/>
    <w:rsid w:val="005F72A3"/>
    <w:rsid w:val="006007E8"/>
    <w:rsid w:val="0060086D"/>
    <w:rsid w:val="00600F2E"/>
    <w:rsid w:val="0060196E"/>
    <w:rsid w:val="00604208"/>
    <w:rsid w:val="00604C26"/>
    <w:rsid w:val="006059B0"/>
    <w:rsid w:val="006066C6"/>
    <w:rsid w:val="0060686F"/>
    <w:rsid w:val="006079A6"/>
    <w:rsid w:val="00607F7F"/>
    <w:rsid w:val="00610721"/>
    <w:rsid w:val="0061127C"/>
    <w:rsid w:val="0061270D"/>
    <w:rsid w:val="00613FF3"/>
    <w:rsid w:val="00615490"/>
    <w:rsid w:val="006158EF"/>
    <w:rsid w:val="0061719D"/>
    <w:rsid w:val="006174EE"/>
    <w:rsid w:val="00617799"/>
    <w:rsid w:val="0061779A"/>
    <w:rsid w:val="00617FA7"/>
    <w:rsid w:val="00620488"/>
    <w:rsid w:val="00620D7F"/>
    <w:rsid w:val="00622222"/>
    <w:rsid w:val="00622AAA"/>
    <w:rsid w:val="00623B1D"/>
    <w:rsid w:val="00627524"/>
    <w:rsid w:val="00627B49"/>
    <w:rsid w:val="00630827"/>
    <w:rsid w:val="0063158D"/>
    <w:rsid w:val="0063163B"/>
    <w:rsid w:val="006326AF"/>
    <w:rsid w:val="0063288D"/>
    <w:rsid w:val="00634117"/>
    <w:rsid w:val="0063571F"/>
    <w:rsid w:val="00642D34"/>
    <w:rsid w:val="0064377F"/>
    <w:rsid w:val="00643837"/>
    <w:rsid w:val="0064579A"/>
    <w:rsid w:val="006476ED"/>
    <w:rsid w:val="00650F9B"/>
    <w:rsid w:val="00651707"/>
    <w:rsid w:val="00652650"/>
    <w:rsid w:val="00652729"/>
    <w:rsid w:val="00654098"/>
    <w:rsid w:val="00656B40"/>
    <w:rsid w:val="006576D7"/>
    <w:rsid w:val="00660D4C"/>
    <w:rsid w:val="0066123B"/>
    <w:rsid w:val="006613CD"/>
    <w:rsid w:val="006615BE"/>
    <w:rsid w:val="00661947"/>
    <w:rsid w:val="006633EF"/>
    <w:rsid w:val="00664A78"/>
    <w:rsid w:val="0066529D"/>
    <w:rsid w:val="00665FCA"/>
    <w:rsid w:val="00666300"/>
    <w:rsid w:val="00666A07"/>
    <w:rsid w:val="00667FFB"/>
    <w:rsid w:val="00671714"/>
    <w:rsid w:val="0067173D"/>
    <w:rsid w:val="00672060"/>
    <w:rsid w:val="006733D2"/>
    <w:rsid w:val="0067394A"/>
    <w:rsid w:val="00675111"/>
    <w:rsid w:val="006756D3"/>
    <w:rsid w:val="00676448"/>
    <w:rsid w:val="00677764"/>
    <w:rsid w:val="00680090"/>
    <w:rsid w:val="00681B9E"/>
    <w:rsid w:val="00682B22"/>
    <w:rsid w:val="00684829"/>
    <w:rsid w:val="00684C98"/>
    <w:rsid w:val="006854AC"/>
    <w:rsid w:val="00687CB7"/>
    <w:rsid w:val="00687F41"/>
    <w:rsid w:val="00692A69"/>
    <w:rsid w:val="006945D4"/>
    <w:rsid w:val="00694812"/>
    <w:rsid w:val="00694B2C"/>
    <w:rsid w:val="00694C7F"/>
    <w:rsid w:val="00694F2F"/>
    <w:rsid w:val="00694FC2"/>
    <w:rsid w:val="006953B0"/>
    <w:rsid w:val="00696723"/>
    <w:rsid w:val="00696AED"/>
    <w:rsid w:val="00696B0F"/>
    <w:rsid w:val="006A0614"/>
    <w:rsid w:val="006A326C"/>
    <w:rsid w:val="006A35C9"/>
    <w:rsid w:val="006A3718"/>
    <w:rsid w:val="006A3E1B"/>
    <w:rsid w:val="006A41B8"/>
    <w:rsid w:val="006A69E2"/>
    <w:rsid w:val="006A6E94"/>
    <w:rsid w:val="006A70E2"/>
    <w:rsid w:val="006B060F"/>
    <w:rsid w:val="006B0CED"/>
    <w:rsid w:val="006B116B"/>
    <w:rsid w:val="006B1211"/>
    <w:rsid w:val="006B16F0"/>
    <w:rsid w:val="006B1E67"/>
    <w:rsid w:val="006B27AE"/>
    <w:rsid w:val="006B4FA5"/>
    <w:rsid w:val="006B57E8"/>
    <w:rsid w:val="006B616F"/>
    <w:rsid w:val="006B6EC2"/>
    <w:rsid w:val="006B7C08"/>
    <w:rsid w:val="006C3A52"/>
    <w:rsid w:val="006C6656"/>
    <w:rsid w:val="006D0A15"/>
    <w:rsid w:val="006D0C79"/>
    <w:rsid w:val="006D0DBF"/>
    <w:rsid w:val="006D2B68"/>
    <w:rsid w:val="006D364F"/>
    <w:rsid w:val="006D389E"/>
    <w:rsid w:val="006D3F0E"/>
    <w:rsid w:val="006D51C7"/>
    <w:rsid w:val="006D6008"/>
    <w:rsid w:val="006D6BC3"/>
    <w:rsid w:val="006E1D43"/>
    <w:rsid w:val="006E316B"/>
    <w:rsid w:val="006E414A"/>
    <w:rsid w:val="006E414F"/>
    <w:rsid w:val="006E41AF"/>
    <w:rsid w:val="006E5765"/>
    <w:rsid w:val="006E6BA3"/>
    <w:rsid w:val="006E72C0"/>
    <w:rsid w:val="006E793E"/>
    <w:rsid w:val="006E7D0E"/>
    <w:rsid w:val="006F05FA"/>
    <w:rsid w:val="006F15C6"/>
    <w:rsid w:val="006F1A72"/>
    <w:rsid w:val="006F1D0A"/>
    <w:rsid w:val="006F23EA"/>
    <w:rsid w:val="006F3B63"/>
    <w:rsid w:val="006F4383"/>
    <w:rsid w:val="006F4BFE"/>
    <w:rsid w:val="006F4DD2"/>
    <w:rsid w:val="006F7E34"/>
    <w:rsid w:val="00700D00"/>
    <w:rsid w:val="0070184D"/>
    <w:rsid w:val="00704048"/>
    <w:rsid w:val="00704941"/>
    <w:rsid w:val="007055B4"/>
    <w:rsid w:val="0070567F"/>
    <w:rsid w:val="00705BCF"/>
    <w:rsid w:val="007062E5"/>
    <w:rsid w:val="0071030D"/>
    <w:rsid w:val="00710FB5"/>
    <w:rsid w:val="00711779"/>
    <w:rsid w:val="00712171"/>
    <w:rsid w:val="007121A0"/>
    <w:rsid w:val="00713906"/>
    <w:rsid w:val="007139D5"/>
    <w:rsid w:val="00714B06"/>
    <w:rsid w:val="00714E28"/>
    <w:rsid w:val="0071588C"/>
    <w:rsid w:val="00715B99"/>
    <w:rsid w:val="007164E2"/>
    <w:rsid w:val="007167BE"/>
    <w:rsid w:val="0072119A"/>
    <w:rsid w:val="0072205A"/>
    <w:rsid w:val="00722A7E"/>
    <w:rsid w:val="00722B91"/>
    <w:rsid w:val="00723D01"/>
    <w:rsid w:val="00724D61"/>
    <w:rsid w:val="00724FE8"/>
    <w:rsid w:val="007269FE"/>
    <w:rsid w:val="00726D9A"/>
    <w:rsid w:val="0072785D"/>
    <w:rsid w:val="00730482"/>
    <w:rsid w:val="0073056F"/>
    <w:rsid w:val="007307EB"/>
    <w:rsid w:val="00731771"/>
    <w:rsid w:val="00731A22"/>
    <w:rsid w:val="007322EB"/>
    <w:rsid w:val="007327A2"/>
    <w:rsid w:val="0073298F"/>
    <w:rsid w:val="007345D7"/>
    <w:rsid w:val="00735F8D"/>
    <w:rsid w:val="00736F88"/>
    <w:rsid w:val="007373EE"/>
    <w:rsid w:val="0074007F"/>
    <w:rsid w:val="00741185"/>
    <w:rsid w:val="00741689"/>
    <w:rsid w:val="00741BFA"/>
    <w:rsid w:val="007446D0"/>
    <w:rsid w:val="00745484"/>
    <w:rsid w:val="00745752"/>
    <w:rsid w:val="00746985"/>
    <w:rsid w:val="00746E72"/>
    <w:rsid w:val="007500E5"/>
    <w:rsid w:val="0075021C"/>
    <w:rsid w:val="00750DE0"/>
    <w:rsid w:val="00750E3E"/>
    <w:rsid w:val="00752186"/>
    <w:rsid w:val="00753209"/>
    <w:rsid w:val="00753D28"/>
    <w:rsid w:val="007551CE"/>
    <w:rsid w:val="007562A8"/>
    <w:rsid w:val="007564BD"/>
    <w:rsid w:val="00757972"/>
    <w:rsid w:val="007602A0"/>
    <w:rsid w:val="007602AE"/>
    <w:rsid w:val="007603B4"/>
    <w:rsid w:val="00761F27"/>
    <w:rsid w:val="007628C0"/>
    <w:rsid w:val="0076588E"/>
    <w:rsid w:val="00766C5A"/>
    <w:rsid w:val="00767964"/>
    <w:rsid w:val="007701FC"/>
    <w:rsid w:val="0077089E"/>
    <w:rsid w:val="00771A84"/>
    <w:rsid w:val="00771D69"/>
    <w:rsid w:val="00773139"/>
    <w:rsid w:val="007732BA"/>
    <w:rsid w:val="007736C6"/>
    <w:rsid w:val="00774C28"/>
    <w:rsid w:val="0077565D"/>
    <w:rsid w:val="0077621C"/>
    <w:rsid w:val="007771DA"/>
    <w:rsid w:val="00781123"/>
    <w:rsid w:val="00783365"/>
    <w:rsid w:val="00783390"/>
    <w:rsid w:val="0078587A"/>
    <w:rsid w:val="00785F6B"/>
    <w:rsid w:val="00786110"/>
    <w:rsid w:val="0078714A"/>
    <w:rsid w:val="00790332"/>
    <w:rsid w:val="00790662"/>
    <w:rsid w:val="0079208C"/>
    <w:rsid w:val="007921D2"/>
    <w:rsid w:val="007926A3"/>
    <w:rsid w:val="00793964"/>
    <w:rsid w:val="00793E13"/>
    <w:rsid w:val="007947C9"/>
    <w:rsid w:val="00795DDF"/>
    <w:rsid w:val="00796AE2"/>
    <w:rsid w:val="007A3B7F"/>
    <w:rsid w:val="007A4225"/>
    <w:rsid w:val="007A493D"/>
    <w:rsid w:val="007A4ECC"/>
    <w:rsid w:val="007A50C2"/>
    <w:rsid w:val="007A6B7F"/>
    <w:rsid w:val="007A6BC6"/>
    <w:rsid w:val="007A7428"/>
    <w:rsid w:val="007B1E8F"/>
    <w:rsid w:val="007B2857"/>
    <w:rsid w:val="007B2A51"/>
    <w:rsid w:val="007B4C04"/>
    <w:rsid w:val="007B604D"/>
    <w:rsid w:val="007B61E3"/>
    <w:rsid w:val="007C0DF9"/>
    <w:rsid w:val="007C2A99"/>
    <w:rsid w:val="007C3114"/>
    <w:rsid w:val="007C366D"/>
    <w:rsid w:val="007C4E05"/>
    <w:rsid w:val="007C58DB"/>
    <w:rsid w:val="007C64D7"/>
    <w:rsid w:val="007D0CD4"/>
    <w:rsid w:val="007D26F3"/>
    <w:rsid w:val="007D2C14"/>
    <w:rsid w:val="007D3B79"/>
    <w:rsid w:val="007D4795"/>
    <w:rsid w:val="007D5010"/>
    <w:rsid w:val="007D5077"/>
    <w:rsid w:val="007D580D"/>
    <w:rsid w:val="007D72B4"/>
    <w:rsid w:val="007D79E7"/>
    <w:rsid w:val="007E04D3"/>
    <w:rsid w:val="007E0A00"/>
    <w:rsid w:val="007E2F75"/>
    <w:rsid w:val="007E397A"/>
    <w:rsid w:val="007E3EC1"/>
    <w:rsid w:val="007E46E9"/>
    <w:rsid w:val="007E48DC"/>
    <w:rsid w:val="007E4F3D"/>
    <w:rsid w:val="007E616C"/>
    <w:rsid w:val="007E6906"/>
    <w:rsid w:val="007E6984"/>
    <w:rsid w:val="007F0425"/>
    <w:rsid w:val="007F06AB"/>
    <w:rsid w:val="007F1E29"/>
    <w:rsid w:val="007F26DD"/>
    <w:rsid w:val="007F3AD2"/>
    <w:rsid w:val="007F4194"/>
    <w:rsid w:val="007F4CEB"/>
    <w:rsid w:val="007F50D2"/>
    <w:rsid w:val="007F50E2"/>
    <w:rsid w:val="007F57E7"/>
    <w:rsid w:val="007F5C26"/>
    <w:rsid w:val="007F6714"/>
    <w:rsid w:val="007F799D"/>
    <w:rsid w:val="007F7D2A"/>
    <w:rsid w:val="007F7E5E"/>
    <w:rsid w:val="00800FCD"/>
    <w:rsid w:val="00801396"/>
    <w:rsid w:val="008018E0"/>
    <w:rsid w:val="0080200B"/>
    <w:rsid w:val="008022FC"/>
    <w:rsid w:val="00803AB4"/>
    <w:rsid w:val="00803C3E"/>
    <w:rsid w:val="00803C68"/>
    <w:rsid w:val="00804CE7"/>
    <w:rsid w:val="008067E6"/>
    <w:rsid w:val="008119A5"/>
    <w:rsid w:val="0081268E"/>
    <w:rsid w:val="00813981"/>
    <w:rsid w:val="008164AD"/>
    <w:rsid w:val="008172C2"/>
    <w:rsid w:val="00820852"/>
    <w:rsid w:val="008237F7"/>
    <w:rsid w:val="008266E1"/>
    <w:rsid w:val="00826EA7"/>
    <w:rsid w:val="008274EB"/>
    <w:rsid w:val="008306FC"/>
    <w:rsid w:val="00831D82"/>
    <w:rsid w:val="008322F0"/>
    <w:rsid w:val="00833B51"/>
    <w:rsid w:val="00833C4D"/>
    <w:rsid w:val="00834728"/>
    <w:rsid w:val="00834B8F"/>
    <w:rsid w:val="00834B93"/>
    <w:rsid w:val="00834CDC"/>
    <w:rsid w:val="00835B10"/>
    <w:rsid w:val="008374A9"/>
    <w:rsid w:val="00840A08"/>
    <w:rsid w:val="008421C5"/>
    <w:rsid w:val="00842DB9"/>
    <w:rsid w:val="00843C78"/>
    <w:rsid w:val="00843E4C"/>
    <w:rsid w:val="00843EEE"/>
    <w:rsid w:val="00844663"/>
    <w:rsid w:val="00846666"/>
    <w:rsid w:val="00846BF1"/>
    <w:rsid w:val="00847F94"/>
    <w:rsid w:val="00852934"/>
    <w:rsid w:val="00852CD5"/>
    <w:rsid w:val="00853AA2"/>
    <w:rsid w:val="00854220"/>
    <w:rsid w:val="008547ED"/>
    <w:rsid w:val="00855AEE"/>
    <w:rsid w:val="00857A4E"/>
    <w:rsid w:val="00857FF8"/>
    <w:rsid w:val="0086083C"/>
    <w:rsid w:val="00860B29"/>
    <w:rsid w:val="00860DE7"/>
    <w:rsid w:val="008615AC"/>
    <w:rsid w:val="00861E9B"/>
    <w:rsid w:val="0086207C"/>
    <w:rsid w:val="0086475B"/>
    <w:rsid w:val="00864C9D"/>
    <w:rsid w:val="008668D1"/>
    <w:rsid w:val="0087015E"/>
    <w:rsid w:val="008709B6"/>
    <w:rsid w:val="00870A9D"/>
    <w:rsid w:val="00871062"/>
    <w:rsid w:val="00871526"/>
    <w:rsid w:val="008733DC"/>
    <w:rsid w:val="008737C8"/>
    <w:rsid w:val="008739AE"/>
    <w:rsid w:val="00873FD3"/>
    <w:rsid w:val="008758FC"/>
    <w:rsid w:val="00881E99"/>
    <w:rsid w:val="008821A6"/>
    <w:rsid w:val="0088442E"/>
    <w:rsid w:val="00885F03"/>
    <w:rsid w:val="00886FAC"/>
    <w:rsid w:val="00887E65"/>
    <w:rsid w:val="00890344"/>
    <w:rsid w:val="008906FA"/>
    <w:rsid w:val="008923AE"/>
    <w:rsid w:val="008923B4"/>
    <w:rsid w:val="008937FE"/>
    <w:rsid w:val="00893C94"/>
    <w:rsid w:val="0089429F"/>
    <w:rsid w:val="008961C2"/>
    <w:rsid w:val="008968AD"/>
    <w:rsid w:val="00896C54"/>
    <w:rsid w:val="00896E10"/>
    <w:rsid w:val="00897D3C"/>
    <w:rsid w:val="008A3517"/>
    <w:rsid w:val="008A437F"/>
    <w:rsid w:val="008A6373"/>
    <w:rsid w:val="008A648F"/>
    <w:rsid w:val="008A6A97"/>
    <w:rsid w:val="008A7657"/>
    <w:rsid w:val="008A7679"/>
    <w:rsid w:val="008B0B64"/>
    <w:rsid w:val="008B0BB7"/>
    <w:rsid w:val="008B6D29"/>
    <w:rsid w:val="008B73E8"/>
    <w:rsid w:val="008B7BE8"/>
    <w:rsid w:val="008C3C3E"/>
    <w:rsid w:val="008C4FCC"/>
    <w:rsid w:val="008C628A"/>
    <w:rsid w:val="008C6CDC"/>
    <w:rsid w:val="008C7079"/>
    <w:rsid w:val="008D18E2"/>
    <w:rsid w:val="008D1ABF"/>
    <w:rsid w:val="008D4501"/>
    <w:rsid w:val="008D499E"/>
    <w:rsid w:val="008D4B22"/>
    <w:rsid w:val="008D57C2"/>
    <w:rsid w:val="008D5836"/>
    <w:rsid w:val="008D71CE"/>
    <w:rsid w:val="008D77B0"/>
    <w:rsid w:val="008E3D86"/>
    <w:rsid w:val="008E4012"/>
    <w:rsid w:val="008F0CA1"/>
    <w:rsid w:val="008F1579"/>
    <w:rsid w:val="008F19A8"/>
    <w:rsid w:val="008F26CF"/>
    <w:rsid w:val="008F34B0"/>
    <w:rsid w:val="008F3E3D"/>
    <w:rsid w:val="008F5073"/>
    <w:rsid w:val="008F6532"/>
    <w:rsid w:val="008F69CE"/>
    <w:rsid w:val="008F7521"/>
    <w:rsid w:val="008F7908"/>
    <w:rsid w:val="008F7C42"/>
    <w:rsid w:val="009031B8"/>
    <w:rsid w:val="0090383E"/>
    <w:rsid w:val="00903E74"/>
    <w:rsid w:val="00907C53"/>
    <w:rsid w:val="00912173"/>
    <w:rsid w:val="00914313"/>
    <w:rsid w:val="00916572"/>
    <w:rsid w:val="00916A0A"/>
    <w:rsid w:val="00916C17"/>
    <w:rsid w:val="0092099A"/>
    <w:rsid w:val="00920C6E"/>
    <w:rsid w:val="00922EF9"/>
    <w:rsid w:val="009243AB"/>
    <w:rsid w:val="00926056"/>
    <w:rsid w:val="00926789"/>
    <w:rsid w:val="00926BCC"/>
    <w:rsid w:val="009277DD"/>
    <w:rsid w:val="0093118D"/>
    <w:rsid w:val="0093148C"/>
    <w:rsid w:val="00932E3F"/>
    <w:rsid w:val="009332AB"/>
    <w:rsid w:val="00933944"/>
    <w:rsid w:val="00936324"/>
    <w:rsid w:val="00936B25"/>
    <w:rsid w:val="00936D5E"/>
    <w:rsid w:val="009370D4"/>
    <w:rsid w:val="009379E4"/>
    <w:rsid w:val="0094320F"/>
    <w:rsid w:val="009448D3"/>
    <w:rsid w:val="0094579D"/>
    <w:rsid w:val="009468FD"/>
    <w:rsid w:val="009518D8"/>
    <w:rsid w:val="00951B44"/>
    <w:rsid w:val="0095419B"/>
    <w:rsid w:val="00954C47"/>
    <w:rsid w:val="00955AE0"/>
    <w:rsid w:val="00961352"/>
    <w:rsid w:val="0096209A"/>
    <w:rsid w:val="00963750"/>
    <w:rsid w:val="00964064"/>
    <w:rsid w:val="00964E98"/>
    <w:rsid w:val="009651F5"/>
    <w:rsid w:val="009656EE"/>
    <w:rsid w:val="009656F7"/>
    <w:rsid w:val="00972EDF"/>
    <w:rsid w:val="00972F08"/>
    <w:rsid w:val="00974021"/>
    <w:rsid w:val="00975035"/>
    <w:rsid w:val="00975A61"/>
    <w:rsid w:val="00982486"/>
    <w:rsid w:val="0098260F"/>
    <w:rsid w:val="009834F7"/>
    <w:rsid w:val="00986C83"/>
    <w:rsid w:val="00987C7A"/>
    <w:rsid w:val="00990206"/>
    <w:rsid w:val="00990D7D"/>
    <w:rsid w:val="00990D82"/>
    <w:rsid w:val="00991E13"/>
    <w:rsid w:val="0099299D"/>
    <w:rsid w:val="00993516"/>
    <w:rsid w:val="009951AE"/>
    <w:rsid w:val="00996C7C"/>
    <w:rsid w:val="00997817"/>
    <w:rsid w:val="009979A3"/>
    <w:rsid w:val="009A057C"/>
    <w:rsid w:val="009A08DD"/>
    <w:rsid w:val="009A14E6"/>
    <w:rsid w:val="009A2358"/>
    <w:rsid w:val="009A2992"/>
    <w:rsid w:val="009A4A70"/>
    <w:rsid w:val="009A6072"/>
    <w:rsid w:val="009B05A3"/>
    <w:rsid w:val="009B0B56"/>
    <w:rsid w:val="009B117C"/>
    <w:rsid w:val="009B14EF"/>
    <w:rsid w:val="009B21FA"/>
    <w:rsid w:val="009B23AF"/>
    <w:rsid w:val="009B2790"/>
    <w:rsid w:val="009B2B19"/>
    <w:rsid w:val="009B6939"/>
    <w:rsid w:val="009B72B5"/>
    <w:rsid w:val="009C2B8C"/>
    <w:rsid w:val="009C3D3C"/>
    <w:rsid w:val="009C4792"/>
    <w:rsid w:val="009C4A2E"/>
    <w:rsid w:val="009C5895"/>
    <w:rsid w:val="009C6D10"/>
    <w:rsid w:val="009C73BD"/>
    <w:rsid w:val="009D0B1F"/>
    <w:rsid w:val="009D12C7"/>
    <w:rsid w:val="009D2A27"/>
    <w:rsid w:val="009D4A96"/>
    <w:rsid w:val="009D513A"/>
    <w:rsid w:val="009D541F"/>
    <w:rsid w:val="009D5517"/>
    <w:rsid w:val="009D6496"/>
    <w:rsid w:val="009D6797"/>
    <w:rsid w:val="009D7703"/>
    <w:rsid w:val="009D780D"/>
    <w:rsid w:val="009D7978"/>
    <w:rsid w:val="009D7BFF"/>
    <w:rsid w:val="009E2D84"/>
    <w:rsid w:val="009E4744"/>
    <w:rsid w:val="009E5691"/>
    <w:rsid w:val="009E5E93"/>
    <w:rsid w:val="009E5F55"/>
    <w:rsid w:val="009E6670"/>
    <w:rsid w:val="009E6FEC"/>
    <w:rsid w:val="009E7475"/>
    <w:rsid w:val="009E7DF2"/>
    <w:rsid w:val="009F06C0"/>
    <w:rsid w:val="009F0A52"/>
    <w:rsid w:val="009F1B61"/>
    <w:rsid w:val="009F1D51"/>
    <w:rsid w:val="009F2797"/>
    <w:rsid w:val="009F2CD0"/>
    <w:rsid w:val="009F411B"/>
    <w:rsid w:val="009F5EA4"/>
    <w:rsid w:val="009F6833"/>
    <w:rsid w:val="009F7344"/>
    <w:rsid w:val="009F74EE"/>
    <w:rsid w:val="00A014D8"/>
    <w:rsid w:val="00A019AB"/>
    <w:rsid w:val="00A02527"/>
    <w:rsid w:val="00A03C77"/>
    <w:rsid w:val="00A040A9"/>
    <w:rsid w:val="00A05A26"/>
    <w:rsid w:val="00A061CE"/>
    <w:rsid w:val="00A06E3A"/>
    <w:rsid w:val="00A0709B"/>
    <w:rsid w:val="00A072B3"/>
    <w:rsid w:val="00A07702"/>
    <w:rsid w:val="00A07DB0"/>
    <w:rsid w:val="00A12B40"/>
    <w:rsid w:val="00A131FE"/>
    <w:rsid w:val="00A136EA"/>
    <w:rsid w:val="00A13D6D"/>
    <w:rsid w:val="00A145CB"/>
    <w:rsid w:val="00A17660"/>
    <w:rsid w:val="00A17F3B"/>
    <w:rsid w:val="00A220FF"/>
    <w:rsid w:val="00A240E3"/>
    <w:rsid w:val="00A24251"/>
    <w:rsid w:val="00A25034"/>
    <w:rsid w:val="00A2538E"/>
    <w:rsid w:val="00A25FF8"/>
    <w:rsid w:val="00A26074"/>
    <w:rsid w:val="00A26182"/>
    <w:rsid w:val="00A269A6"/>
    <w:rsid w:val="00A308D9"/>
    <w:rsid w:val="00A3121E"/>
    <w:rsid w:val="00A31F8F"/>
    <w:rsid w:val="00A32BAB"/>
    <w:rsid w:val="00A32D28"/>
    <w:rsid w:val="00A335C9"/>
    <w:rsid w:val="00A33B8B"/>
    <w:rsid w:val="00A3430E"/>
    <w:rsid w:val="00A34CEB"/>
    <w:rsid w:val="00A3583B"/>
    <w:rsid w:val="00A35B2E"/>
    <w:rsid w:val="00A35DD3"/>
    <w:rsid w:val="00A36560"/>
    <w:rsid w:val="00A40013"/>
    <w:rsid w:val="00A4002F"/>
    <w:rsid w:val="00A41536"/>
    <w:rsid w:val="00A41B3E"/>
    <w:rsid w:val="00A42E1B"/>
    <w:rsid w:val="00A440B3"/>
    <w:rsid w:val="00A446EF"/>
    <w:rsid w:val="00A47564"/>
    <w:rsid w:val="00A50DFB"/>
    <w:rsid w:val="00A517F2"/>
    <w:rsid w:val="00A51D87"/>
    <w:rsid w:val="00A51E7E"/>
    <w:rsid w:val="00A54C36"/>
    <w:rsid w:val="00A56B28"/>
    <w:rsid w:val="00A573B7"/>
    <w:rsid w:val="00A578BE"/>
    <w:rsid w:val="00A60B8E"/>
    <w:rsid w:val="00A610F2"/>
    <w:rsid w:val="00A629F3"/>
    <w:rsid w:val="00A63065"/>
    <w:rsid w:val="00A63413"/>
    <w:rsid w:val="00A64700"/>
    <w:rsid w:val="00A65FEF"/>
    <w:rsid w:val="00A7038B"/>
    <w:rsid w:val="00A70596"/>
    <w:rsid w:val="00A70C94"/>
    <w:rsid w:val="00A7255A"/>
    <w:rsid w:val="00A73FC0"/>
    <w:rsid w:val="00A75A16"/>
    <w:rsid w:val="00A75C50"/>
    <w:rsid w:val="00A76D9F"/>
    <w:rsid w:val="00A76F3F"/>
    <w:rsid w:val="00A80001"/>
    <w:rsid w:val="00A80179"/>
    <w:rsid w:val="00A80596"/>
    <w:rsid w:val="00A80A13"/>
    <w:rsid w:val="00A81B1E"/>
    <w:rsid w:val="00A81FC5"/>
    <w:rsid w:val="00A8476C"/>
    <w:rsid w:val="00A864D4"/>
    <w:rsid w:val="00A92323"/>
    <w:rsid w:val="00A92773"/>
    <w:rsid w:val="00A94B54"/>
    <w:rsid w:val="00A9526C"/>
    <w:rsid w:val="00A95A6A"/>
    <w:rsid w:val="00A95A97"/>
    <w:rsid w:val="00A96525"/>
    <w:rsid w:val="00A975D8"/>
    <w:rsid w:val="00A97CC3"/>
    <w:rsid w:val="00AA0848"/>
    <w:rsid w:val="00AA1B09"/>
    <w:rsid w:val="00AA301A"/>
    <w:rsid w:val="00AA7611"/>
    <w:rsid w:val="00AA7673"/>
    <w:rsid w:val="00AA7D08"/>
    <w:rsid w:val="00AB023C"/>
    <w:rsid w:val="00AB0395"/>
    <w:rsid w:val="00AB0A56"/>
    <w:rsid w:val="00AB0BD2"/>
    <w:rsid w:val="00AB1073"/>
    <w:rsid w:val="00AB1442"/>
    <w:rsid w:val="00AB2B64"/>
    <w:rsid w:val="00AB324E"/>
    <w:rsid w:val="00AB3647"/>
    <w:rsid w:val="00AB5AA8"/>
    <w:rsid w:val="00AB768A"/>
    <w:rsid w:val="00AB78FE"/>
    <w:rsid w:val="00AC572F"/>
    <w:rsid w:val="00AC581B"/>
    <w:rsid w:val="00AD0F5B"/>
    <w:rsid w:val="00AD15BE"/>
    <w:rsid w:val="00AD19BE"/>
    <w:rsid w:val="00AD3B3D"/>
    <w:rsid w:val="00AD41B8"/>
    <w:rsid w:val="00AD5DB4"/>
    <w:rsid w:val="00AD5EEA"/>
    <w:rsid w:val="00AD5F32"/>
    <w:rsid w:val="00AD7942"/>
    <w:rsid w:val="00AE0AA6"/>
    <w:rsid w:val="00AE22E1"/>
    <w:rsid w:val="00AE3056"/>
    <w:rsid w:val="00AE321B"/>
    <w:rsid w:val="00AE46E7"/>
    <w:rsid w:val="00AE5131"/>
    <w:rsid w:val="00AE6362"/>
    <w:rsid w:val="00AE6523"/>
    <w:rsid w:val="00AE6BB6"/>
    <w:rsid w:val="00AE7E43"/>
    <w:rsid w:val="00AF11D7"/>
    <w:rsid w:val="00AF258B"/>
    <w:rsid w:val="00AF352D"/>
    <w:rsid w:val="00AF3BC8"/>
    <w:rsid w:val="00AF4C2B"/>
    <w:rsid w:val="00AF6FFF"/>
    <w:rsid w:val="00B0018D"/>
    <w:rsid w:val="00B0234C"/>
    <w:rsid w:val="00B06B64"/>
    <w:rsid w:val="00B11A23"/>
    <w:rsid w:val="00B13B06"/>
    <w:rsid w:val="00B13C6C"/>
    <w:rsid w:val="00B14265"/>
    <w:rsid w:val="00B1460D"/>
    <w:rsid w:val="00B14654"/>
    <w:rsid w:val="00B14694"/>
    <w:rsid w:val="00B148F6"/>
    <w:rsid w:val="00B14C22"/>
    <w:rsid w:val="00B16E4B"/>
    <w:rsid w:val="00B20326"/>
    <w:rsid w:val="00B20990"/>
    <w:rsid w:val="00B20EC8"/>
    <w:rsid w:val="00B21529"/>
    <w:rsid w:val="00B2286A"/>
    <w:rsid w:val="00B23996"/>
    <w:rsid w:val="00B24CBF"/>
    <w:rsid w:val="00B24DBF"/>
    <w:rsid w:val="00B2613B"/>
    <w:rsid w:val="00B261AE"/>
    <w:rsid w:val="00B27A53"/>
    <w:rsid w:val="00B27EF1"/>
    <w:rsid w:val="00B30345"/>
    <w:rsid w:val="00B31668"/>
    <w:rsid w:val="00B316AE"/>
    <w:rsid w:val="00B316C4"/>
    <w:rsid w:val="00B31C2F"/>
    <w:rsid w:val="00B32DED"/>
    <w:rsid w:val="00B34775"/>
    <w:rsid w:val="00B34D2B"/>
    <w:rsid w:val="00B36267"/>
    <w:rsid w:val="00B3698C"/>
    <w:rsid w:val="00B36AFB"/>
    <w:rsid w:val="00B379CD"/>
    <w:rsid w:val="00B37A17"/>
    <w:rsid w:val="00B4025C"/>
    <w:rsid w:val="00B40AA4"/>
    <w:rsid w:val="00B40E0D"/>
    <w:rsid w:val="00B42D26"/>
    <w:rsid w:val="00B43714"/>
    <w:rsid w:val="00B43793"/>
    <w:rsid w:val="00B47850"/>
    <w:rsid w:val="00B5026D"/>
    <w:rsid w:val="00B50FF0"/>
    <w:rsid w:val="00B51DC4"/>
    <w:rsid w:val="00B53EC3"/>
    <w:rsid w:val="00B5543A"/>
    <w:rsid w:val="00B56379"/>
    <w:rsid w:val="00B56706"/>
    <w:rsid w:val="00B56844"/>
    <w:rsid w:val="00B57073"/>
    <w:rsid w:val="00B601B8"/>
    <w:rsid w:val="00B62DEE"/>
    <w:rsid w:val="00B63926"/>
    <w:rsid w:val="00B6580B"/>
    <w:rsid w:val="00B6598B"/>
    <w:rsid w:val="00B71F2D"/>
    <w:rsid w:val="00B71F72"/>
    <w:rsid w:val="00B74D1A"/>
    <w:rsid w:val="00B75EC3"/>
    <w:rsid w:val="00B76D8D"/>
    <w:rsid w:val="00B76E74"/>
    <w:rsid w:val="00B76FB3"/>
    <w:rsid w:val="00B802C2"/>
    <w:rsid w:val="00B80496"/>
    <w:rsid w:val="00B80A8E"/>
    <w:rsid w:val="00B81FA6"/>
    <w:rsid w:val="00B82AF7"/>
    <w:rsid w:val="00B8409B"/>
    <w:rsid w:val="00B84179"/>
    <w:rsid w:val="00B846DF"/>
    <w:rsid w:val="00B84AC7"/>
    <w:rsid w:val="00B877BF"/>
    <w:rsid w:val="00B914BA"/>
    <w:rsid w:val="00B93D63"/>
    <w:rsid w:val="00B944F6"/>
    <w:rsid w:val="00B94B82"/>
    <w:rsid w:val="00B9537D"/>
    <w:rsid w:val="00B9585B"/>
    <w:rsid w:val="00B96275"/>
    <w:rsid w:val="00B973CB"/>
    <w:rsid w:val="00B97B7D"/>
    <w:rsid w:val="00BA0548"/>
    <w:rsid w:val="00BA093C"/>
    <w:rsid w:val="00BA0E4F"/>
    <w:rsid w:val="00BA3E49"/>
    <w:rsid w:val="00BA49CC"/>
    <w:rsid w:val="00BA5EDD"/>
    <w:rsid w:val="00BA6ECE"/>
    <w:rsid w:val="00BA754A"/>
    <w:rsid w:val="00BB1312"/>
    <w:rsid w:val="00BB1563"/>
    <w:rsid w:val="00BB3C83"/>
    <w:rsid w:val="00BB3F43"/>
    <w:rsid w:val="00BB4DD2"/>
    <w:rsid w:val="00BB533B"/>
    <w:rsid w:val="00BB5C3E"/>
    <w:rsid w:val="00BB604F"/>
    <w:rsid w:val="00BB6D7F"/>
    <w:rsid w:val="00BC0464"/>
    <w:rsid w:val="00BC07E9"/>
    <w:rsid w:val="00BC0CDC"/>
    <w:rsid w:val="00BC1FEB"/>
    <w:rsid w:val="00BC2ACC"/>
    <w:rsid w:val="00BC2F45"/>
    <w:rsid w:val="00BC346C"/>
    <w:rsid w:val="00BC4001"/>
    <w:rsid w:val="00BC4620"/>
    <w:rsid w:val="00BC4657"/>
    <w:rsid w:val="00BC510F"/>
    <w:rsid w:val="00BC599A"/>
    <w:rsid w:val="00BC69B8"/>
    <w:rsid w:val="00BC6CFC"/>
    <w:rsid w:val="00BC6E63"/>
    <w:rsid w:val="00BC718B"/>
    <w:rsid w:val="00BC7A0C"/>
    <w:rsid w:val="00BD0861"/>
    <w:rsid w:val="00BD19FE"/>
    <w:rsid w:val="00BD2BF4"/>
    <w:rsid w:val="00BD334A"/>
    <w:rsid w:val="00BD4F7B"/>
    <w:rsid w:val="00BD5595"/>
    <w:rsid w:val="00BD5C10"/>
    <w:rsid w:val="00BD61B1"/>
    <w:rsid w:val="00BD61EC"/>
    <w:rsid w:val="00BD6252"/>
    <w:rsid w:val="00BD7E5E"/>
    <w:rsid w:val="00BE0A31"/>
    <w:rsid w:val="00BE1098"/>
    <w:rsid w:val="00BE21F1"/>
    <w:rsid w:val="00BE2300"/>
    <w:rsid w:val="00BE249D"/>
    <w:rsid w:val="00BE37C9"/>
    <w:rsid w:val="00BE3983"/>
    <w:rsid w:val="00BE4A00"/>
    <w:rsid w:val="00BE517D"/>
    <w:rsid w:val="00BE54F5"/>
    <w:rsid w:val="00BE6900"/>
    <w:rsid w:val="00BE7CB5"/>
    <w:rsid w:val="00BF1AE8"/>
    <w:rsid w:val="00BF1E54"/>
    <w:rsid w:val="00BF20EE"/>
    <w:rsid w:val="00BF251D"/>
    <w:rsid w:val="00BF2C84"/>
    <w:rsid w:val="00BF40AB"/>
    <w:rsid w:val="00BF40B0"/>
    <w:rsid w:val="00BF69B1"/>
    <w:rsid w:val="00BF7266"/>
    <w:rsid w:val="00BF745F"/>
    <w:rsid w:val="00BF766E"/>
    <w:rsid w:val="00C01835"/>
    <w:rsid w:val="00C0242D"/>
    <w:rsid w:val="00C053E7"/>
    <w:rsid w:val="00C07BC0"/>
    <w:rsid w:val="00C10126"/>
    <w:rsid w:val="00C1058C"/>
    <w:rsid w:val="00C1115B"/>
    <w:rsid w:val="00C11803"/>
    <w:rsid w:val="00C15348"/>
    <w:rsid w:val="00C15B46"/>
    <w:rsid w:val="00C16291"/>
    <w:rsid w:val="00C16EF6"/>
    <w:rsid w:val="00C172B1"/>
    <w:rsid w:val="00C17B7C"/>
    <w:rsid w:val="00C203E8"/>
    <w:rsid w:val="00C20E39"/>
    <w:rsid w:val="00C20FDC"/>
    <w:rsid w:val="00C21692"/>
    <w:rsid w:val="00C2276E"/>
    <w:rsid w:val="00C22B65"/>
    <w:rsid w:val="00C23BBA"/>
    <w:rsid w:val="00C25836"/>
    <w:rsid w:val="00C263F1"/>
    <w:rsid w:val="00C264B2"/>
    <w:rsid w:val="00C2656E"/>
    <w:rsid w:val="00C304A1"/>
    <w:rsid w:val="00C309F6"/>
    <w:rsid w:val="00C31AB0"/>
    <w:rsid w:val="00C33579"/>
    <w:rsid w:val="00C337C8"/>
    <w:rsid w:val="00C33A20"/>
    <w:rsid w:val="00C340E8"/>
    <w:rsid w:val="00C3476D"/>
    <w:rsid w:val="00C36287"/>
    <w:rsid w:val="00C36624"/>
    <w:rsid w:val="00C37211"/>
    <w:rsid w:val="00C401A2"/>
    <w:rsid w:val="00C40727"/>
    <w:rsid w:val="00C40CCA"/>
    <w:rsid w:val="00C40EB5"/>
    <w:rsid w:val="00C42289"/>
    <w:rsid w:val="00C42465"/>
    <w:rsid w:val="00C4336C"/>
    <w:rsid w:val="00C437DE"/>
    <w:rsid w:val="00C437EE"/>
    <w:rsid w:val="00C43886"/>
    <w:rsid w:val="00C443C1"/>
    <w:rsid w:val="00C463BB"/>
    <w:rsid w:val="00C468B8"/>
    <w:rsid w:val="00C50FF4"/>
    <w:rsid w:val="00C516E1"/>
    <w:rsid w:val="00C54BB7"/>
    <w:rsid w:val="00C57A93"/>
    <w:rsid w:val="00C57FB4"/>
    <w:rsid w:val="00C60002"/>
    <w:rsid w:val="00C60BDC"/>
    <w:rsid w:val="00C60D1E"/>
    <w:rsid w:val="00C6418E"/>
    <w:rsid w:val="00C64212"/>
    <w:rsid w:val="00C64A77"/>
    <w:rsid w:val="00C6558B"/>
    <w:rsid w:val="00C6632D"/>
    <w:rsid w:val="00C67E88"/>
    <w:rsid w:val="00C7002F"/>
    <w:rsid w:val="00C70FEE"/>
    <w:rsid w:val="00C722FC"/>
    <w:rsid w:val="00C75E6A"/>
    <w:rsid w:val="00C7623F"/>
    <w:rsid w:val="00C82A86"/>
    <w:rsid w:val="00C84655"/>
    <w:rsid w:val="00C860CE"/>
    <w:rsid w:val="00C86108"/>
    <w:rsid w:val="00C8778B"/>
    <w:rsid w:val="00C87D60"/>
    <w:rsid w:val="00C9006E"/>
    <w:rsid w:val="00C9047A"/>
    <w:rsid w:val="00C904C0"/>
    <w:rsid w:val="00C905E4"/>
    <w:rsid w:val="00C925C1"/>
    <w:rsid w:val="00C95E39"/>
    <w:rsid w:val="00C960C9"/>
    <w:rsid w:val="00C97290"/>
    <w:rsid w:val="00C97FFE"/>
    <w:rsid w:val="00CA01EC"/>
    <w:rsid w:val="00CA020F"/>
    <w:rsid w:val="00CA0376"/>
    <w:rsid w:val="00CA038A"/>
    <w:rsid w:val="00CA072E"/>
    <w:rsid w:val="00CA1B08"/>
    <w:rsid w:val="00CA2A03"/>
    <w:rsid w:val="00CA3517"/>
    <w:rsid w:val="00CA578D"/>
    <w:rsid w:val="00CA5904"/>
    <w:rsid w:val="00CA6247"/>
    <w:rsid w:val="00CA6B7F"/>
    <w:rsid w:val="00CB3A2C"/>
    <w:rsid w:val="00CB3BAA"/>
    <w:rsid w:val="00CB497A"/>
    <w:rsid w:val="00CB4D6F"/>
    <w:rsid w:val="00CB6C20"/>
    <w:rsid w:val="00CB71C5"/>
    <w:rsid w:val="00CB73C4"/>
    <w:rsid w:val="00CC0948"/>
    <w:rsid w:val="00CC22FD"/>
    <w:rsid w:val="00CC3D18"/>
    <w:rsid w:val="00CC5453"/>
    <w:rsid w:val="00CC5D56"/>
    <w:rsid w:val="00CC683E"/>
    <w:rsid w:val="00CC732C"/>
    <w:rsid w:val="00CD0120"/>
    <w:rsid w:val="00CD06CE"/>
    <w:rsid w:val="00CD1186"/>
    <w:rsid w:val="00CD1FD1"/>
    <w:rsid w:val="00CD2BA3"/>
    <w:rsid w:val="00CE05EB"/>
    <w:rsid w:val="00CE25E7"/>
    <w:rsid w:val="00CE4CC8"/>
    <w:rsid w:val="00CE761F"/>
    <w:rsid w:val="00CF0BEE"/>
    <w:rsid w:val="00CF24E8"/>
    <w:rsid w:val="00CF2567"/>
    <w:rsid w:val="00CF28EA"/>
    <w:rsid w:val="00CF53B4"/>
    <w:rsid w:val="00CF62CF"/>
    <w:rsid w:val="00CF6F2F"/>
    <w:rsid w:val="00CF70A5"/>
    <w:rsid w:val="00CF723A"/>
    <w:rsid w:val="00D0014B"/>
    <w:rsid w:val="00D0075A"/>
    <w:rsid w:val="00D024B2"/>
    <w:rsid w:val="00D02B2E"/>
    <w:rsid w:val="00D046B0"/>
    <w:rsid w:val="00D04F84"/>
    <w:rsid w:val="00D056FD"/>
    <w:rsid w:val="00D05B49"/>
    <w:rsid w:val="00D075C4"/>
    <w:rsid w:val="00D07F59"/>
    <w:rsid w:val="00D11950"/>
    <w:rsid w:val="00D11DD1"/>
    <w:rsid w:val="00D14918"/>
    <w:rsid w:val="00D149BC"/>
    <w:rsid w:val="00D149E7"/>
    <w:rsid w:val="00D14E13"/>
    <w:rsid w:val="00D14F45"/>
    <w:rsid w:val="00D157AE"/>
    <w:rsid w:val="00D15B60"/>
    <w:rsid w:val="00D15ED9"/>
    <w:rsid w:val="00D1647A"/>
    <w:rsid w:val="00D1710A"/>
    <w:rsid w:val="00D2051E"/>
    <w:rsid w:val="00D21F52"/>
    <w:rsid w:val="00D23D34"/>
    <w:rsid w:val="00D24955"/>
    <w:rsid w:val="00D249B2"/>
    <w:rsid w:val="00D24B32"/>
    <w:rsid w:val="00D25541"/>
    <w:rsid w:val="00D26E46"/>
    <w:rsid w:val="00D30EA1"/>
    <w:rsid w:val="00D31B93"/>
    <w:rsid w:val="00D3265A"/>
    <w:rsid w:val="00D33C0B"/>
    <w:rsid w:val="00D34236"/>
    <w:rsid w:val="00D34688"/>
    <w:rsid w:val="00D34B28"/>
    <w:rsid w:val="00D34B76"/>
    <w:rsid w:val="00D36C9A"/>
    <w:rsid w:val="00D3776B"/>
    <w:rsid w:val="00D41F8B"/>
    <w:rsid w:val="00D41FD9"/>
    <w:rsid w:val="00D426D7"/>
    <w:rsid w:val="00D42E1B"/>
    <w:rsid w:val="00D43064"/>
    <w:rsid w:val="00D437ED"/>
    <w:rsid w:val="00D442A2"/>
    <w:rsid w:val="00D44B96"/>
    <w:rsid w:val="00D45AF1"/>
    <w:rsid w:val="00D4641B"/>
    <w:rsid w:val="00D467B1"/>
    <w:rsid w:val="00D46BF9"/>
    <w:rsid w:val="00D52007"/>
    <w:rsid w:val="00D526BA"/>
    <w:rsid w:val="00D527E3"/>
    <w:rsid w:val="00D540FA"/>
    <w:rsid w:val="00D55091"/>
    <w:rsid w:val="00D551BE"/>
    <w:rsid w:val="00D55CD7"/>
    <w:rsid w:val="00D579E5"/>
    <w:rsid w:val="00D60115"/>
    <w:rsid w:val="00D6012E"/>
    <w:rsid w:val="00D61A43"/>
    <w:rsid w:val="00D61C3B"/>
    <w:rsid w:val="00D62CBA"/>
    <w:rsid w:val="00D63A75"/>
    <w:rsid w:val="00D6481A"/>
    <w:rsid w:val="00D64CFB"/>
    <w:rsid w:val="00D65144"/>
    <w:rsid w:val="00D660B7"/>
    <w:rsid w:val="00D667CE"/>
    <w:rsid w:val="00D674F4"/>
    <w:rsid w:val="00D703ED"/>
    <w:rsid w:val="00D7198F"/>
    <w:rsid w:val="00D719B1"/>
    <w:rsid w:val="00D71F8E"/>
    <w:rsid w:val="00D73808"/>
    <w:rsid w:val="00D752AF"/>
    <w:rsid w:val="00D75CC8"/>
    <w:rsid w:val="00D8002C"/>
    <w:rsid w:val="00D8060D"/>
    <w:rsid w:val="00D8295E"/>
    <w:rsid w:val="00D82A5D"/>
    <w:rsid w:val="00D834F7"/>
    <w:rsid w:val="00D84445"/>
    <w:rsid w:val="00D85776"/>
    <w:rsid w:val="00D85908"/>
    <w:rsid w:val="00D85ECE"/>
    <w:rsid w:val="00D912E4"/>
    <w:rsid w:val="00D9134F"/>
    <w:rsid w:val="00D9247B"/>
    <w:rsid w:val="00D9432E"/>
    <w:rsid w:val="00D94390"/>
    <w:rsid w:val="00D95AC1"/>
    <w:rsid w:val="00D97296"/>
    <w:rsid w:val="00D97854"/>
    <w:rsid w:val="00DA0E6F"/>
    <w:rsid w:val="00DA1707"/>
    <w:rsid w:val="00DA45D4"/>
    <w:rsid w:val="00DA4896"/>
    <w:rsid w:val="00DA59F4"/>
    <w:rsid w:val="00DA7944"/>
    <w:rsid w:val="00DB07E8"/>
    <w:rsid w:val="00DB11D8"/>
    <w:rsid w:val="00DB1AF8"/>
    <w:rsid w:val="00DB30E8"/>
    <w:rsid w:val="00DB556C"/>
    <w:rsid w:val="00DB5A68"/>
    <w:rsid w:val="00DC07AD"/>
    <w:rsid w:val="00DC5709"/>
    <w:rsid w:val="00DC5E70"/>
    <w:rsid w:val="00DC7D4F"/>
    <w:rsid w:val="00DD0000"/>
    <w:rsid w:val="00DD0040"/>
    <w:rsid w:val="00DD10B4"/>
    <w:rsid w:val="00DD13F0"/>
    <w:rsid w:val="00DD15C4"/>
    <w:rsid w:val="00DD1F56"/>
    <w:rsid w:val="00DD270E"/>
    <w:rsid w:val="00DD3C86"/>
    <w:rsid w:val="00DD3F45"/>
    <w:rsid w:val="00DD424A"/>
    <w:rsid w:val="00DD443B"/>
    <w:rsid w:val="00DD4E3C"/>
    <w:rsid w:val="00DD4EA5"/>
    <w:rsid w:val="00DD7AD0"/>
    <w:rsid w:val="00DE1CB7"/>
    <w:rsid w:val="00DE212B"/>
    <w:rsid w:val="00DE2D9B"/>
    <w:rsid w:val="00DE3026"/>
    <w:rsid w:val="00DE5F61"/>
    <w:rsid w:val="00DF04CC"/>
    <w:rsid w:val="00DF2CFC"/>
    <w:rsid w:val="00DF2DF8"/>
    <w:rsid w:val="00DF3A94"/>
    <w:rsid w:val="00DF51C4"/>
    <w:rsid w:val="00DF6F97"/>
    <w:rsid w:val="00DF7092"/>
    <w:rsid w:val="00DF7214"/>
    <w:rsid w:val="00DF7DE2"/>
    <w:rsid w:val="00E00608"/>
    <w:rsid w:val="00E02197"/>
    <w:rsid w:val="00E03A23"/>
    <w:rsid w:val="00E04FBE"/>
    <w:rsid w:val="00E060B0"/>
    <w:rsid w:val="00E0630A"/>
    <w:rsid w:val="00E066E9"/>
    <w:rsid w:val="00E100C9"/>
    <w:rsid w:val="00E1147A"/>
    <w:rsid w:val="00E12EAC"/>
    <w:rsid w:val="00E1344A"/>
    <w:rsid w:val="00E1631C"/>
    <w:rsid w:val="00E1669F"/>
    <w:rsid w:val="00E171F3"/>
    <w:rsid w:val="00E1771C"/>
    <w:rsid w:val="00E2047E"/>
    <w:rsid w:val="00E20612"/>
    <w:rsid w:val="00E20E00"/>
    <w:rsid w:val="00E218E0"/>
    <w:rsid w:val="00E26DEC"/>
    <w:rsid w:val="00E27F76"/>
    <w:rsid w:val="00E317CC"/>
    <w:rsid w:val="00E32295"/>
    <w:rsid w:val="00E3284E"/>
    <w:rsid w:val="00E3569E"/>
    <w:rsid w:val="00E369AA"/>
    <w:rsid w:val="00E36BBA"/>
    <w:rsid w:val="00E36C5A"/>
    <w:rsid w:val="00E37232"/>
    <w:rsid w:val="00E401DD"/>
    <w:rsid w:val="00E41D5E"/>
    <w:rsid w:val="00E42773"/>
    <w:rsid w:val="00E43222"/>
    <w:rsid w:val="00E43465"/>
    <w:rsid w:val="00E43934"/>
    <w:rsid w:val="00E45504"/>
    <w:rsid w:val="00E4557B"/>
    <w:rsid w:val="00E46FBF"/>
    <w:rsid w:val="00E47C6D"/>
    <w:rsid w:val="00E51F7F"/>
    <w:rsid w:val="00E52534"/>
    <w:rsid w:val="00E5259B"/>
    <w:rsid w:val="00E52CBD"/>
    <w:rsid w:val="00E5417D"/>
    <w:rsid w:val="00E543AB"/>
    <w:rsid w:val="00E554DA"/>
    <w:rsid w:val="00E55AE7"/>
    <w:rsid w:val="00E55B9B"/>
    <w:rsid w:val="00E55CB1"/>
    <w:rsid w:val="00E55EA5"/>
    <w:rsid w:val="00E56600"/>
    <w:rsid w:val="00E56FF5"/>
    <w:rsid w:val="00E6182C"/>
    <w:rsid w:val="00E61949"/>
    <w:rsid w:val="00E636F5"/>
    <w:rsid w:val="00E63703"/>
    <w:rsid w:val="00E662B4"/>
    <w:rsid w:val="00E66ABF"/>
    <w:rsid w:val="00E67C43"/>
    <w:rsid w:val="00E72844"/>
    <w:rsid w:val="00E730A5"/>
    <w:rsid w:val="00E73C42"/>
    <w:rsid w:val="00E75292"/>
    <w:rsid w:val="00E758C5"/>
    <w:rsid w:val="00E75C89"/>
    <w:rsid w:val="00E76272"/>
    <w:rsid w:val="00E76424"/>
    <w:rsid w:val="00E76F9F"/>
    <w:rsid w:val="00E776F5"/>
    <w:rsid w:val="00E80161"/>
    <w:rsid w:val="00E80AA8"/>
    <w:rsid w:val="00E8176A"/>
    <w:rsid w:val="00E82404"/>
    <w:rsid w:val="00E83146"/>
    <w:rsid w:val="00E83B67"/>
    <w:rsid w:val="00E83FB2"/>
    <w:rsid w:val="00E843BB"/>
    <w:rsid w:val="00E8687E"/>
    <w:rsid w:val="00E90B0F"/>
    <w:rsid w:val="00E90F08"/>
    <w:rsid w:val="00E91ACF"/>
    <w:rsid w:val="00E924DF"/>
    <w:rsid w:val="00E92BF1"/>
    <w:rsid w:val="00E9322F"/>
    <w:rsid w:val="00E948DF"/>
    <w:rsid w:val="00E95BC9"/>
    <w:rsid w:val="00E96525"/>
    <w:rsid w:val="00E97230"/>
    <w:rsid w:val="00EA3A60"/>
    <w:rsid w:val="00EA47BF"/>
    <w:rsid w:val="00EA48B9"/>
    <w:rsid w:val="00EA5BEE"/>
    <w:rsid w:val="00EA68BB"/>
    <w:rsid w:val="00EA6C30"/>
    <w:rsid w:val="00EA7666"/>
    <w:rsid w:val="00EA7C08"/>
    <w:rsid w:val="00EB1178"/>
    <w:rsid w:val="00EB18F9"/>
    <w:rsid w:val="00EB1F9F"/>
    <w:rsid w:val="00EB2064"/>
    <w:rsid w:val="00EB3481"/>
    <w:rsid w:val="00EB3568"/>
    <w:rsid w:val="00EB3FC9"/>
    <w:rsid w:val="00EB4C21"/>
    <w:rsid w:val="00EB593A"/>
    <w:rsid w:val="00EB5EB7"/>
    <w:rsid w:val="00EB62CD"/>
    <w:rsid w:val="00EB6847"/>
    <w:rsid w:val="00EB70BC"/>
    <w:rsid w:val="00EB71D9"/>
    <w:rsid w:val="00EB7F5A"/>
    <w:rsid w:val="00EC0B69"/>
    <w:rsid w:val="00EC1B2B"/>
    <w:rsid w:val="00EC41B4"/>
    <w:rsid w:val="00EC504D"/>
    <w:rsid w:val="00EC650F"/>
    <w:rsid w:val="00EC7984"/>
    <w:rsid w:val="00ED067D"/>
    <w:rsid w:val="00ED0C0D"/>
    <w:rsid w:val="00ED0E71"/>
    <w:rsid w:val="00ED3C3F"/>
    <w:rsid w:val="00ED3D89"/>
    <w:rsid w:val="00ED3FE2"/>
    <w:rsid w:val="00ED4983"/>
    <w:rsid w:val="00EE128F"/>
    <w:rsid w:val="00EE231A"/>
    <w:rsid w:val="00EE2BAC"/>
    <w:rsid w:val="00EE3CC2"/>
    <w:rsid w:val="00EE4073"/>
    <w:rsid w:val="00EE649A"/>
    <w:rsid w:val="00EE658D"/>
    <w:rsid w:val="00EE6B48"/>
    <w:rsid w:val="00EE76CD"/>
    <w:rsid w:val="00EE7954"/>
    <w:rsid w:val="00EF0392"/>
    <w:rsid w:val="00EF17BD"/>
    <w:rsid w:val="00EF40E3"/>
    <w:rsid w:val="00EF491A"/>
    <w:rsid w:val="00EF5995"/>
    <w:rsid w:val="00EF6067"/>
    <w:rsid w:val="00EF62D8"/>
    <w:rsid w:val="00EF6F4E"/>
    <w:rsid w:val="00EF73D5"/>
    <w:rsid w:val="00EF7ECC"/>
    <w:rsid w:val="00F00738"/>
    <w:rsid w:val="00F00D19"/>
    <w:rsid w:val="00F00F99"/>
    <w:rsid w:val="00F010FF"/>
    <w:rsid w:val="00F01373"/>
    <w:rsid w:val="00F01FFC"/>
    <w:rsid w:val="00F028D7"/>
    <w:rsid w:val="00F02ABE"/>
    <w:rsid w:val="00F02B4F"/>
    <w:rsid w:val="00F04AFD"/>
    <w:rsid w:val="00F05512"/>
    <w:rsid w:val="00F077AF"/>
    <w:rsid w:val="00F078A9"/>
    <w:rsid w:val="00F07B90"/>
    <w:rsid w:val="00F07D5E"/>
    <w:rsid w:val="00F11BE7"/>
    <w:rsid w:val="00F12D56"/>
    <w:rsid w:val="00F1397C"/>
    <w:rsid w:val="00F14F4B"/>
    <w:rsid w:val="00F15B6C"/>
    <w:rsid w:val="00F168EC"/>
    <w:rsid w:val="00F201A9"/>
    <w:rsid w:val="00F20EA1"/>
    <w:rsid w:val="00F210CF"/>
    <w:rsid w:val="00F21908"/>
    <w:rsid w:val="00F224C9"/>
    <w:rsid w:val="00F22F3D"/>
    <w:rsid w:val="00F25823"/>
    <w:rsid w:val="00F25BAC"/>
    <w:rsid w:val="00F26B87"/>
    <w:rsid w:val="00F30734"/>
    <w:rsid w:val="00F30D9F"/>
    <w:rsid w:val="00F31D2A"/>
    <w:rsid w:val="00F32152"/>
    <w:rsid w:val="00F3264D"/>
    <w:rsid w:val="00F33138"/>
    <w:rsid w:val="00F345A2"/>
    <w:rsid w:val="00F3732E"/>
    <w:rsid w:val="00F37596"/>
    <w:rsid w:val="00F37762"/>
    <w:rsid w:val="00F37E35"/>
    <w:rsid w:val="00F4006D"/>
    <w:rsid w:val="00F4033D"/>
    <w:rsid w:val="00F41C10"/>
    <w:rsid w:val="00F41DCF"/>
    <w:rsid w:val="00F43C4A"/>
    <w:rsid w:val="00F43C72"/>
    <w:rsid w:val="00F43CD0"/>
    <w:rsid w:val="00F4650C"/>
    <w:rsid w:val="00F46520"/>
    <w:rsid w:val="00F544CA"/>
    <w:rsid w:val="00F54DEB"/>
    <w:rsid w:val="00F557D5"/>
    <w:rsid w:val="00F562BC"/>
    <w:rsid w:val="00F562EE"/>
    <w:rsid w:val="00F5794C"/>
    <w:rsid w:val="00F616D4"/>
    <w:rsid w:val="00F63A41"/>
    <w:rsid w:val="00F64E69"/>
    <w:rsid w:val="00F666CE"/>
    <w:rsid w:val="00F667C7"/>
    <w:rsid w:val="00F6695E"/>
    <w:rsid w:val="00F67A2B"/>
    <w:rsid w:val="00F70BF6"/>
    <w:rsid w:val="00F71F6D"/>
    <w:rsid w:val="00F72726"/>
    <w:rsid w:val="00F733D9"/>
    <w:rsid w:val="00F7417E"/>
    <w:rsid w:val="00F742DF"/>
    <w:rsid w:val="00F7523E"/>
    <w:rsid w:val="00F758E0"/>
    <w:rsid w:val="00F75DDF"/>
    <w:rsid w:val="00F77539"/>
    <w:rsid w:val="00F775B5"/>
    <w:rsid w:val="00F77643"/>
    <w:rsid w:val="00F777DF"/>
    <w:rsid w:val="00F80767"/>
    <w:rsid w:val="00F808B7"/>
    <w:rsid w:val="00F80D09"/>
    <w:rsid w:val="00F81600"/>
    <w:rsid w:val="00F81924"/>
    <w:rsid w:val="00F81D4C"/>
    <w:rsid w:val="00F81DFD"/>
    <w:rsid w:val="00F82843"/>
    <w:rsid w:val="00F82E65"/>
    <w:rsid w:val="00F83B36"/>
    <w:rsid w:val="00F845B8"/>
    <w:rsid w:val="00F853F1"/>
    <w:rsid w:val="00F85858"/>
    <w:rsid w:val="00F8639A"/>
    <w:rsid w:val="00F86443"/>
    <w:rsid w:val="00F86607"/>
    <w:rsid w:val="00F87457"/>
    <w:rsid w:val="00F87661"/>
    <w:rsid w:val="00F90F3D"/>
    <w:rsid w:val="00F93779"/>
    <w:rsid w:val="00F93983"/>
    <w:rsid w:val="00F93D65"/>
    <w:rsid w:val="00F95515"/>
    <w:rsid w:val="00F9640C"/>
    <w:rsid w:val="00F972B2"/>
    <w:rsid w:val="00F978E7"/>
    <w:rsid w:val="00FA06EA"/>
    <w:rsid w:val="00FA0A11"/>
    <w:rsid w:val="00FA0EED"/>
    <w:rsid w:val="00FA2F1B"/>
    <w:rsid w:val="00FA38F7"/>
    <w:rsid w:val="00FA4C54"/>
    <w:rsid w:val="00FA683A"/>
    <w:rsid w:val="00FA7DC4"/>
    <w:rsid w:val="00FB0F8A"/>
    <w:rsid w:val="00FB1043"/>
    <w:rsid w:val="00FB1744"/>
    <w:rsid w:val="00FB17D1"/>
    <w:rsid w:val="00FB21FC"/>
    <w:rsid w:val="00FB2ADD"/>
    <w:rsid w:val="00FB353F"/>
    <w:rsid w:val="00FB3F73"/>
    <w:rsid w:val="00FB6386"/>
    <w:rsid w:val="00FB6D16"/>
    <w:rsid w:val="00FB7B9B"/>
    <w:rsid w:val="00FB7D8B"/>
    <w:rsid w:val="00FC2421"/>
    <w:rsid w:val="00FC3A33"/>
    <w:rsid w:val="00FC59E9"/>
    <w:rsid w:val="00FC61E4"/>
    <w:rsid w:val="00FC73E2"/>
    <w:rsid w:val="00FC763B"/>
    <w:rsid w:val="00FC77E1"/>
    <w:rsid w:val="00FD0709"/>
    <w:rsid w:val="00FD18C8"/>
    <w:rsid w:val="00FD18DF"/>
    <w:rsid w:val="00FD348D"/>
    <w:rsid w:val="00FD43B0"/>
    <w:rsid w:val="00FD5DB9"/>
    <w:rsid w:val="00FD6771"/>
    <w:rsid w:val="00FD69BC"/>
    <w:rsid w:val="00FE031E"/>
    <w:rsid w:val="00FE09A0"/>
    <w:rsid w:val="00FE12CF"/>
    <w:rsid w:val="00FE1BD1"/>
    <w:rsid w:val="00FE202A"/>
    <w:rsid w:val="00FE2E1A"/>
    <w:rsid w:val="00FE3314"/>
    <w:rsid w:val="00FE3A58"/>
    <w:rsid w:val="00FE4AE7"/>
    <w:rsid w:val="00FE4DE5"/>
    <w:rsid w:val="00FE4E8A"/>
    <w:rsid w:val="00FE56CC"/>
    <w:rsid w:val="00FE704C"/>
    <w:rsid w:val="00FE7891"/>
    <w:rsid w:val="00FE7901"/>
    <w:rsid w:val="00FF11AD"/>
    <w:rsid w:val="00FF2169"/>
    <w:rsid w:val="00FF41A3"/>
    <w:rsid w:val="00FF50A0"/>
    <w:rsid w:val="00FF543E"/>
    <w:rsid w:val="00FF5CE0"/>
    <w:rsid w:val="00FF6AE3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8E15F-3693-4CE4-8108-6E2B20A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F5"/>
    <w:rPr>
      <w:rFonts w:ascii="Times New Roman" w:eastAsia="Times New Roman" w:hAnsi="Times New Roman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4F5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4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4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Heading1Char">
    <w:name w:val="Heading 1 Char"/>
    <w:link w:val="Heading1"/>
    <w:uiPriority w:val="9"/>
    <w:rsid w:val="00BE54F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BodyText3">
    <w:name w:val="Body Text 3"/>
    <w:basedOn w:val="Normal"/>
    <w:link w:val="BodyText3Char"/>
    <w:rsid w:val="00BE54F5"/>
    <w:pPr>
      <w:jc w:val="right"/>
    </w:pPr>
    <w:rPr>
      <w:sz w:val="16"/>
      <w:szCs w:val="16"/>
    </w:rPr>
  </w:style>
  <w:style w:type="character" w:customStyle="1" w:styleId="BodyText3Char">
    <w:name w:val="Body Text 3 Char"/>
    <w:link w:val="BodyText3"/>
    <w:rsid w:val="00BE54F5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BE54F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E54F5"/>
    <w:rPr>
      <w:rFonts w:ascii="Calibri Light" w:eastAsia="Times New Roman" w:hAnsi="Calibri Light" w:cs="Times New Roman"/>
      <w:color w:val="2E74B5"/>
      <w:sz w:val="26"/>
      <w:szCs w:val="26"/>
      <w:lang w:val="es-ES_tradnl" w:eastAsia="es-ES"/>
    </w:rPr>
  </w:style>
  <w:style w:type="character" w:customStyle="1" w:styleId="Heading3Char">
    <w:name w:val="Heading 3 Char"/>
    <w:link w:val="Heading3"/>
    <w:uiPriority w:val="9"/>
    <w:rsid w:val="00BE54F5"/>
    <w:rPr>
      <w:rFonts w:ascii="Calibri Light" w:eastAsia="Times New Roman" w:hAnsi="Calibri Light" w:cs="Times New Roman"/>
      <w:color w:val="1F4D78"/>
      <w:sz w:val="24"/>
      <w:szCs w:val="24"/>
      <w:lang w:val="es-ES_tradnl" w:eastAsia="es-ES"/>
    </w:rPr>
  </w:style>
  <w:style w:type="paragraph" w:styleId="BodyText2">
    <w:name w:val="Body Text 2"/>
    <w:basedOn w:val="Normal"/>
    <w:link w:val="BodyText2Char"/>
    <w:uiPriority w:val="99"/>
    <w:unhideWhenUsed/>
    <w:rsid w:val="00BE54F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E54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uiPriority w:val="99"/>
    <w:unhideWhenUsed/>
    <w:rsid w:val="00677764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144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s-SV" w:eastAsia="es-SV"/>
    </w:rPr>
  </w:style>
  <w:style w:type="paragraph" w:styleId="TOC1">
    <w:name w:val="toc 1"/>
    <w:basedOn w:val="Normal"/>
    <w:next w:val="Normal"/>
    <w:autoRedefine/>
    <w:uiPriority w:val="39"/>
    <w:unhideWhenUsed/>
    <w:rsid w:val="00AB14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6FC2"/>
    <w:pPr>
      <w:tabs>
        <w:tab w:val="right" w:leader="dot" w:pos="9394"/>
      </w:tabs>
      <w:spacing w:after="100"/>
      <w:ind w:left="328" w:firstLine="90"/>
    </w:pPr>
  </w:style>
  <w:style w:type="paragraph" w:styleId="TOC3">
    <w:name w:val="toc 3"/>
    <w:basedOn w:val="Normal"/>
    <w:next w:val="Normal"/>
    <w:autoRedefine/>
    <w:uiPriority w:val="39"/>
    <w:unhideWhenUsed/>
    <w:rsid w:val="00AB1442"/>
    <w:pPr>
      <w:spacing w:after="100"/>
      <w:ind w:left="400"/>
    </w:pPr>
  </w:style>
  <w:style w:type="character" w:customStyle="1" w:styleId="Heading4Char">
    <w:name w:val="Heading 4 Char"/>
    <w:link w:val="Heading4"/>
    <w:uiPriority w:val="9"/>
    <w:rsid w:val="00AB1442"/>
    <w:rPr>
      <w:rFonts w:ascii="Calibri Light" w:eastAsia="Times New Roman" w:hAnsi="Calibri Light" w:cs="Times New Roman"/>
      <w:i/>
      <w:iCs/>
      <w:color w:val="2E74B5"/>
      <w:sz w:val="20"/>
      <w:szCs w:val="20"/>
      <w:lang w:val="es-ES_tradnl" w:eastAsia="es-ES"/>
    </w:rPr>
  </w:style>
  <w:style w:type="paragraph" w:customStyle="1" w:styleId="Default">
    <w:name w:val="Default"/>
    <w:rsid w:val="000C0E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72844"/>
  </w:style>
  <w:style w:type="character" w:customStyle="1" w:styleId="FootnoteTextChar">
    <w:name w:val="Footnote Text Char"/>
    <w:link w:val="FootnoteText"/>
    <w:rsid w:val="00E72844"/>
    <w:rPr>
      <w:rFonts w:ascii="Times New Roman" w:eastAsia="Times New Roman" w:hAnsi="Times New Roman"/>
      <w:lang w:val="es-ES_tradnl" w:eastAsia="es-ES"/>
    </w:rPr>
  </w:style>
  <w:style w:type="character" w:styleId="FootnoteReference">
    <w:name w:val="footnote reference"/>
    <w:unhideWhenUsed/>
    <w:rsid w:val="00E72844"/>
    <w:rPr>
      <w:vertAlign w:val="superscript"/>
    </w:rPr>
  </w:style>
  <w:style w:type="paragraph" w:customStyle="1" w:styleId="Textoindependiente1">
    <w:name w:val="Texto independiente 1"/>
    <w:basedOn w:val="BodyText2"/>
    <w:rsid w:val="00083368"/>
    <w:rPr>
      <w:rFonts w:ascii="Calibri" w:hAnsi="Calibri"/>
      <w:lang w:val="en-US" w:eastAsia="en-US"/>
    </w:rPr>
  </w:style>
  <w:style w:type="paragraph" w:customStyle="1" w:styleId="Outline1L1">
    <w:name w:val="Outline1_L1"/>
    <w:basedOn w:val="Normal"/>
    <w:next w:val="Outline1L2"/>
    <w:uiPriority w:val="99"/>
    <w:rsid w:val="00083368"/>
    <w:pPr>
      <w:keepNext/>
      <w:numPr>
        <w:numId w:val="9"/>
      </w:numPr>
      <w:spacing w:after="240"/>
      <w:outlineLvl w:val="0"/>
    </w:pPr>
    <w:rPr>
      <w:rFonts w:eastAsia="MS Mincho"/>
      <w:sz w:val="24"/>
      <w:szCs w:val="24"/>
      <w:lang w:val="en-US" w:eastAsia="en-US"/>
    </w:rPr>
  </w:style>
  <w:style w:type="paragraph" w:customStyle="1" w:styleId="Outline1L2">
    <w:name w:val="Outline1_L2"/>
    <w:basedOn w:val="Outline1L1"/>
    <w:next w:val="Outline1L1"/>
    <w:uiPriority w:val="99"/>
    <w:rsid w:val="00083368"/>
    <w:pPr>
      <w:numPr>
        <w:ilvl w:val="1"/>
      </w:numPr>
      <w:outlineLvl w:val="1"/>
    </w:pPr>
  </w:style>
  <w:style w:type="paragraph" w:customStyle="1" w:styleId="Outline1L3">
    <w:name w:val="Outline1_L3"/>
    <w:basedOn w:val="Outline1L2"/>
    <w:next w:val="Outline1L1"/>
    <w:uiPriority w:val="99"/>
    <w:rsid w:val="00083368"/>
    <w:pPr>
      <w:keepNext w:val="0"/>
      <w:numPr>
        <w:ilvl w:val="2"/>
      </w:numPr>
      <w:tabs>
        <w:tab w:val="num" w:pos="2241"/>
      </w:tabs>
      <w:outlineLvl w:val="2"/>
    </w:pPr>
  </w:style>
  <w:style w:type="paragraph" w:customStyle="1" w:styleId="Outline1L4">
    <w:name w:val="Outline1_L4"/>
    <w:basedOn w:val="Outline1L3"/>
    <w:next w:val="Normal"/>
    <w:uiPriority w:val="99"/>
    <w:rsid w:val="00083368"/>
    <w:pPr>
      <w:numPr>
        <w:ilvl w:val="3"/>
      </w:numPr>
      <w:tabs>
        <w:tab w:val="clear" w:pos="2880"/>
        <w:tab w:val="num" w:pos="2241"/>
        <w:tab w:val="num" w:pos="2870"/>
      </w:tabs>
      <w:outlineLvl w:val="3"/>
    </w:pPr>
  </w:style>
  <w:style w:type="paragraph" w:customStyle="1" w:styleId="Outline1L5">
    <w:name w:val="Outline1_L5"/>
    <w:basedOn w:val="Outline1L4"/>
    <w:next w:val="Normal"/>
    <w:uiPriority w:val="99"/>
    <w:rsid w:val="00083368"/>
    <w:pPr>
      <w:numPr>
        <w:ilvl w:val="4"/>
      </w:numPr>
      <w:outlineLvl w:val="4"/>
    </w:pPr>
  </w:style>
  <w:style w:type="paragraph" w:customStyle="1" w:styleId="Outline1L6">
    <w:name w:val="Outline1_L6"/>
    <w:basedOn w:val="Outline1L5"/>
    <w:next w:val="Normal"/>
    <w:uiPriority w:val="99"/>
    <w:rsid w:val="00083368"/>
    <w:pPr>
      <w:numPr>
        <w:ilvl w:val="5"/>
      </w:numPr>
      <w:outlineLvl w:val="5"/>
    </w:pPr>
  </w:style>
  <w:style w:type="character" w:customStyle="1" w:styleId="Heading5Char">
    <w:name w:val="Heading 5 Char"/>
    <w:link w:val="Heading5"/>
    <w:uiPriority w:val="9"/>
    <w:rsid w:val="005E444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styleId="SubtleReference">
    <w:name w:val="Subtle Reference"/>
    <w:uiPriority w:val="31"/>
    <w:qFormat/>
    <w:rsid w:val="00AD19BE"/>
    <w:rPr>
      <w:smallCaps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AD19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D19BE"/>
    <w:rPr>
      <w:rFonts w:ascii="Times New Roman" w:eastAsia="Times New Roman" w:hAnsi="Times New Roman"/>
      <w:i/>
      <w:iCs/>
      <w:color w:val="404040"/>
      <w:lang w:val="es-ES_tradnl" w:eastAsia="es-ES"/>
    </w:rPr>
  </w:style>
  <w:style w:type="paragraph" w:styleId="EndnoteText">
    <w:name w:val="endnote text"/>
    <w:basedOn w:val="Normal"/>
    <w:link w:val="EndnoteTextChar"/>
    <w:rsid w:val="00F80D09"/>
    <w:rPr>
      <w:lang w:val="es-ES"/>
    </w:rPr>
  </w:style>
  <w:style w:type="character" w:customStyle="1" w:styleId="EndnoteTextChar">
    <w:name w:val="Endnote Text Char"/>
    <w:link w:val="EndnoteText"/>
    <w:rsid w:val="00F80D09"/>
    <w:rPr>
      <w:rFonts w:ascii="Times New Roman" w:eastAsia="Times New Roman" w:hAnsi="Times New Roman"/>
      <w:lang w:val="es-ES" w:eastAsia="es-ES"/>
    </w:rPr>
  </w:style>
  <w:style w:type="character" w:styleId="CommentReference">
    <w:name w:val="annotation reference"/>
    <w:uiPriority w:val="99"/>
    <w:semiHidden/>
    <w:unhideWhenUsed/>
    <w:rsid w:val="00F5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94C"/>
  </w:style>
  <w:style w:type="character" w:customStyle="1" w:styleId="CommentTextChar">
    <w:name w:val="Comment Text Char"/>
    <w:link w:val="CommentText"/>
    <w:uiPriority w:val="99"/>
    <w:semiHidden/>
    <w:rsid w:val="00F5794C"/>
    <w:rPr>
      <w:rFonts w:ascii="Times New Roman" w:eastAsia="Times New Roman" w:hAnsi="Times New Roman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9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794C"/>
    <w:rPr>
      <w:rFonts w:ascii="Times New Roman" w:eastAsia="Times New Roman" w:hAnsi="Times New Roman"/>
      <w:b/>
      <w:bCs/>
      <w:lang w:val="es-ES_tradnl" w:eastAsia="es-ES"/>
    </w:rPr>
  </w:style>
  <w:style w:type="table" w:customStyle="1" w:styleId="Tablaconcuadrcula4-nfasis11">
    <w:name w:val="Tabla con cuadrícula 4 - Énfasis 11"/>
    <w:basedOn w:val="TableNormal"/>
    <w:uiPriority w:val="49"/>
    <w:rsid w:val="003468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on">
    <w:name w:val="Revision"/>
    <w:hidden/>
    <w:uiPriority w:val="99"/>
    <w:semiHidden/>
    <w:rsid w:val="00714E28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67DFC"/>
    <w:pPr>
      <w:spacing w:before="100" w:beforeAutospacing="1" w:after="100" w:afterAutospacing="1"/>
    </w:pPr>
    <w:rPr>
      <w:sz w:val="24"/>
      <w:szCs w:val="24"/>
      <w:lang w:val="es-SV" w:eastAsia="es-SV"/>
    </w:rPr>
  </w:style>
  <w:style w:type="paragraph" w:styleId="Title">
    <w:name w:val="Title"/>
    <w:basedOn w:val="Normal"/>
    <w:next w:val="Normal"/>
    <w:link w:val="TitleChar"/>
    <w:qFormat/>
    <w:rsid w:val="00605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rsid w:val="006059B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EE36-26AC-46A5-AFC2-05913D3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4271</Words>
  <Characters>23494</Characters>
  <Application>Microsoft Office Word</Application>
  <DocSecurity>4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27710</CharactersWithSpaces>
  <SharedDoc>false</SharedDoc>
  <HLinks>
    <vt:vector size="114" baseType="variant"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_Toc516748922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_Toc516748921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_Toc516748920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_Toc516748919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_Toc516748918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_Toc516748917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_Toc516748916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_Toc516748915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_Toc516748914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_Toc516748913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_Toc516748912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_Toc516748911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_Toc516748910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_Toc516748909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_Toc516748908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_Toc516748907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_Toc516748906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_Toc516748905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_Toc516748904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Fermin Garcia</dc:creator>
  <cp:lastModifiedBy>Gerber Augusto Ardon Lemus</cp:lastModifiedBy>
  <cp:revision>2</cp:revision>
  <cp:lastPrinted>2022-11-23T14:51:00Z</cp:lastPrinted>
  <dcterms:created xsi:type="dcterms:W3CDTF">2023-01-04T16:06:00Z</dcterms:created>
  <dcterms:modified xsi:type="dcterms:W3CDTF">2023-01-04T16:06:00Z</dcterms:modified>
</cp:coreProperties>
</file>