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  <w:bookmarkStart w:id="0" w:name="_GoBack"/>
      <w:bookmarkEnd w:id="0"/>
    </w:p>
    <w:p w:rsidR="008274EB" w:rsidRPr="00CD1FD1" w:rsidRDefault="00AF4C2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CD1FD1">
        <w:rPr>
          <w:rFonts w:ascii="Museo Sans 300" w:hAnsi="Museo Sans 30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76B4A86" wp14:editId="3DC44701">
            <wp:simplePos x="0" y="0"/>
            <wp:positionH relativeFrom="margin">
              <wp:posOffset>-178132</wp:posOffset>
            </wp:positionH>
            <wp:positionV relativeFrom="paragraph">
              <wp:posOffset>89172</wp:posOffset>
            </wp:positionV>
            <wp:extent cx="6315699" cy="8160011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37" cy="8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593A7A" w:rsidP="00593A7A">
      <w:pPr>
        <w:tabs>
          <w:tab w:val="left" w:pos="0"/>
          <w:tab w:val="left" w:pos="9214"/>
        </w:tabs>
        <w:autoSpaceDE w:val="0"/>
        <w:autoSpaceDN w:val="0"/>
        <w:adjustRightInd w:val="0"/>
        <w:ind w:left="3240" w:hanging="4658"/>
        <w:jc w:val="center"/>
        <w:rPr>
          <w:rFonts w:ascii="Museo Sans 300" w:hAnsi="Museo Sans 300"/>
          <w:b/>
          <w:sz w:val="22"/>
          <w:szCs w:val="22"/>
        </w:rPr>
      </w:pPr>
      <w:r>
        <w:rPr>
          <w:rFonts w:ascii="Museo Sans 300" w:hAnsi="Museo Sans 300"/>
          <w:b/>
          <w:sz w:val="22"/>
          <w:szCs w:val="22"/>
        </w:rPr>
        <w:t xml:space="preserve">           </w:t>
      </w:r>
      <w:r w:rsidR="00BE54F5" w:rsidRPr="00CD1FD1">
        <w:rPr>
          <w:rFonts w:ascii="Museo Sans 300" w:hAnsi="Museo Sans 300"/>
          <w:b/>
          <w:sz w:val="22"/>
          <w:szCs w:val="22"/>
        </w:rPr>
        <w:t xml:space="preserve">INFORME </w:t>
      </w:r>
      <w:r w:rsidR="005768FD" w:rsidRPr="00CD1FD1">
        <w:rPr>
          <w:rFonts w:ascii="Museo Sans 300" w:hAnsi="Museo Sans 300"/>
          <w:b/>
          <w:sz w:val="22"/>
          <w:szCs w:val="22"/>
        </w:rPr>
        <w:t xml:space="preserve">PRELIMINAR </w:t>
      </w:r>
      <w:r w:rsidR="00BE54F5" w:rsidRPr="00CD1FD1">
        <w:rPr>
          <w:rFonts w:ascii="Museo Sans 300" w:hAnsi="Museo Sans 300"/>
          <w:b/>
          <w:sz w:val="22"/>
          <w:szCs w:val="22"/>
        </w:rPr>
        <w:t xml:space="preserve">DE GESTION DE LAS FINANZAS </w:t>
      </w:r>
      <w:r w:rsidR="00BF251D" w:rsidRPr="00CD1FD1">
        <w:rPr>
          <w:rFonts w:ascii="Museo Sans 300" w:hAnsi="Museo Sans 300"/>
          <w:b/>
          <w:sz w:val="22"/>
          <w:szCs w:val="22"/>
        </w:rPr>
        <w:t>PÚBLICAS</w:t>
      </w: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CD1FD1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CD1FD1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CD1FD1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1E1C63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CD1FD1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5767D6" w:rsidRPr="00CD1FD1">
        <w:rPr>
          <w:rFonts w:ascii="Museo Sans 300" w:hAnsi="Museo Sans 300"/>
          <w:b/>
          <w:bCs/>
          <w:sz w:val="22"/>
          <w:szCs w:val="22"/>
        </w:rPr>
        <w:t>A</w:t>
      </w:r>
      <w:r w:rsidR="00065616" w:rsidRPr="00CD1FD1">
        <w:rPr>
          <w:rFonts w:ascii="Museo Sans 300" w:hAnsi="Museo Sans 300"/>
          <w:b/>
          <w:bCs/>
          <w:sz w:val="22"/>
          <w:szCs w:val="22"/>
        </w:rPr>
        <w:t>l mes de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442690" w:rsidRPr="00CD1FD1">
        <w:rPr>
          <w:rFonts w:ascii="Museo Sans 300" w:hAnsi="Museo Sans 300"/>
          <w:b/>
          <w:bCs/>
          <w:sz w:val="22"/>
          <w:szCs w:val="22"/>
        </w:rPr>
        <w:t>marzo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de </w:t>
      </w:r>
      <w:r w:rsidR="00042C94" w:rsidRPr="00CD1FD1">
        <w:rPr>
          <w:rFonts w:ascii="Museo Sans 300" w:hAnsi="Museo Sans 300"/>
          <w:b/>
          <w:bCs/>
          <w:sz w:val="22"/>
          <w:szCs w:val="22"/>
        </w:rPr>
        <w:t>202</w:t>
      </w:r>
      <w:r w:rsidR="0064579A" w:rsidRPr="00CD1FD1">
        <w:rPr>
          <w:rFonts w:ascii="Museo Sans 300" w:hAnsi="Museo Sans 300"/>
          <w:b/>
          <w:bCs/>
          <w:sz w:val="22"/>
          <w:szCs w:val="22"/>
        </w:rPr>
        <w:t>2</w:t>
      </w: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CD1FD1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CD1FD1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CD1FD1">
        <w:rPr>
          <w:rFonts w:ascii="Museo Sans 300" w:hAnsi="Museo Sans 300"/>
          <w:b/>
          <w:bCs/>
          <w:sz w:val="22"/>
          <w:szCs w:val="22"/>
        </w:rPr>
        <w:t xml:space="preserve">San Salvador, </w:t>
      </w:r>
      <w:r w:rsidR="00442690" w:rsidRPr="00CD1FD1">
        <w:rPr>
          <w:rFonts w:ascii="Museo Sans 300" w:hAnsi="Museo Sans 300"/>
          <w:b/>
          <w:bCs/>
          <w:sz w:val="22"/>
          <w:szCs w:val="22"/>
        </w:rPr>
        <w:t>mayo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de </w:t>
      </w:r>
      <w:r w:rsidR="00042C94" w:rsidRPr="00CD1FD1">
        <w:rPr>
          <w:rFonts w:ascii="Museo Sans 300" w:hAnsi="Museo Sans 300"/>
          <w:b/>
          <w:bCs/>
          <w:sz w:val="22"/>
          <w:szCs w:val="22"/>
        </w:rPr>
        <w:t>202</w:t>
      </w:r>
      <w:r w:rsidR="0064579A" w:rsidRPr="00CD1FD1">
        <w:rPr>
          <w:rFonts w:ascii="Museo Sans 300" w:hAnsi="Museo Sans 300"/>
          <w:b/>
          <w:bCs/>
          <w:sz w:val="22"/>
          <w:szCs w:val="22"/>
        </w:rPr>
        <w:t>2</w:t>
      </w:r>
      <w:r w:rsidRPr="00CD1FD1">
        <w:rPr>
          <w:rFonts w:ascii="Museo Sans 300" w:hAnsi="Museo Sans 300"/>
          <w:b/>
          <w:bCs/>
          <w:sz w:val="22"/>
          <w:szCs w:val="22"/>
        </w:rPr>
        <w:t xml:space="preserve"> </w:t>
      </w: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CD1FD1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F43C4A" w:rsidRPr="00CD1FD1" w:rsidRDefault="00F43C4A" w:rsidP="00F43C4A">
      <w:pPr>
        <w:rPr>
          <w:rFonts w:ascii="Museo Sans 300" w:hAnsi="Museo Sans 300"/>
          <w:sz w:val="22"/>
          <w:szCs w:val="22"/>
          <w:lang w:val="es-MX"/>
        </w:rPr>
      </w:pPr>
      <w:bookmarkStart w:id="1" w:name="_Toc505951453"/>
    </w:p>
    <w:tbl>
      <w:tblPr>
        <w:tblW w:w="98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258"/>
        <w:gridCol w:w="258"/>
        <w:gridCol w:w="258"/>
        <w:gridCol w:w="259"/>
      </w:tblGrid>
      <w:tr w:rsidR="000F2598" w:rsidRPr="00CD1FD1" w:rsidTr="00390F5A">
        <w:trPr>
          <w:trHeight w:val="972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bookmarkEnd w:id="1" w:displacedByCustomXml="next"/>
          <w:bookmarkStart w:id="2" w:name="_Toc388257452" w:displacedByCustomXml="next"/>
          <w:bookmarkStart w:id="3" w:name="_Toc319049207" w:displacedByCustomXml="next"/>
          <w:bookmarkStart w:id="4" w:name="_Toc308681661" w:displacedByCustomXml="next"/>
          <w:sdt>
            <w:sdtPr>
              <w:rPr>
                <w:rFonts w:ascii="Museo Sans 300" w:hAnsi="Museo Sans 300"/>
                <w:color w:val="auto"/>
                <w:sz w:val="22"/>
                <w:szCs w:val="22"/>
                <w:lang w:val="es-ES" w:eastAsia="es-ES"/>
              </w:rPr>
              <w:id w:val="52439633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:rsidR="006B1211" w:rsidRPr="00CD1FD1" w:rsidRDefault="006B1211">
                <w:pPr>
                  <w:pStyle w:val="TOCHeading"/>
                  <w:rPr>
                    <w:rFonts w:ascii="Museo Sans 300" w:hAnsi="Museo Sans 300"/>
                    <w:sz w:val="22"/>
                    <w:szCs w:val="22"/>
                  </w:rPr>
                </w:pPr>
                <w:r w:rsidRPr="00CD1FD1">
                  <w:rPr>
                    <w:rFonts w:ascii="Museo Sans 300" w:hAnsi="Museo Sans 300"/>
                    <w:sz w:val="22"/>
                    <w:szCs w:val="22"/>
                    <w:lang w:val="es-ES"/>
                  </w:rPr>
                  <w:t>Contenido</w:t>
                </w:r>
              </w:p>
              <w:p w:rsidR="00085376" w:rsidRPr="00CD1FD1" w:rsidRDefault="006B1211">
                <w:pPr>
                  <w:pStyle w:val="TOC1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r w:rsidRPr="00CD1FD1">
                  <w:rPr>
                    <w:rFonts w:ascii="Museo Sans 300" w:hAnsi="Museo Sans 300"/>
                    <w:sz w:val="22"/>
                    <w:szCs w:val="22"/>
                  </w:rPr>
                  <w:fldChar w:fldCharType="begin"/>
                </w:r>
                <w:r w:rsidRPr="00CD1FD1">
                  <w:rPr>
                    <w:rFonts w:ascii="Museo Sans 300" w:hAnsi="Museo Sans 300"/>
                    <w:sz w:val="22"/>
                    <w:szCs w:val="22"/>
                  </w:rPr>
                  <w:instrText xml:space="preserve"> TOC \o "1-3" \h \z \u </w:instrText>
                </w:r>
                <w:r w:rsidRPr="00CD1FD1">
                  <w:rPr>
                    <w:rFonts w:ascii="Museo Sans 300" w:hAnsi="Museo Sans 300"/>
                    <w:sz w:val="22"/>
                    <w:szCs w:val="22"/>
                  </w:rPr>
                  <w:fldChar w:fldCharType="separate"/>
                </w:r>
                <w:hyperlink w:anchor="_Toc72330643" w:history="1">
                  <w:r w:rsidR="00085376" w:rsidRPr="00CD1FD1">
                    <w:rPr>
                      <w:rStyle w:val="Hyperlink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>RESUMEN EJECUTIVO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_Toc72330643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3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44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 Ingresos Totales del SPNF (ver anexo 3).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_Toc72330644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7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45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1.1 Ingresos tributarios y Contribuciones Especiales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_Toc72330645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7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46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1.2 Ingresos no Tributarios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_Toc72330646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11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47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1.3 Las Empresas Públicas No Financieras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_Toc72330647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11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48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1.4 Donaciones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_Toc72330648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12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49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2. Gastos del Sector Público No Financiero</w:t>
                  </w:r>
                  <w:r w:rsidR="00085376" w:rsidRPr="00CD1FD1">
                    <w:rPr>
                      <w:rStyle w:val="Hyperlink"/>
                      <w:rFonts w:ascii="Museo Sans 300" w:hAnsi="Museo Sans 300"/>
                      <w:noProof/>
                      <w:sz w:val="22"/>
                      <w:szCs w:val="22"/>
                      <w:lang w:val="es-MX"/>
                    </w:rPr>
                    <w:t xml:space="preserve"> (ver anexo 1 y 2)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_Toc72330649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12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0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2.1 Gastos corrientes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_Toc72330650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12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1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2.2 Gasto de capital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_Toc72330651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15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2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 Deuda del SPNF (ver anexo 5)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_Toc72330652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17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3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3.1 Deuda Interna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_Toc72330653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17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4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3.2 Deuda Externa.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_Toc72330654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18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5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3.3 Servicio de la deuda del SPNF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_Toc72330655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18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6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3.4 Deuda de Corto Plazo (LETES).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_Toc72330656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19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7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4. Resultados Globales del SPNF (ver anexo 1 y 2)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_Toc72330657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19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8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4.1 Balance Primario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_Toc72330658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19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3"/>
                  <w:tabs>
                    <w:tab w:val="right" w:leader="dot" w:pos="9394"/>
                  </w:tabs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59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4.2 Balance global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_Toc72330659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20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085376" w:rsidRPr="00CD1FD1" w:rsidRDefault="00BD2955">
                <w:pPr>
                  <w:pStyle w:val="TOC2"/>
                  <w:rPr>
                    <w:rFonts w:ascii="Museo Sans 300" w:eastAsiaTheme="minorEastAsia" w:hAnsi="Museo Sans 300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72330660" w:history="1">
                  <w:r w:rsidR="00085376" w:rsidRPr="00CD1FD1">
                    <w:rPr>
                      <w:rStyle w:val="Hyperlink"/>
                      <w:rFonts w:ascii="Museo Sans 300" w:hAnsi="Museo Sans 300"/>
                      <w:b/>
                      <w:noProof/>
                      <w:sz w:val="22"/>
                      <w:szCs w:val="22"/>
                      <w:lang w:val="es-MX"/>
                    </w:rPr>
                    <w:t>5. ANEXOS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ab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begin"/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instrText xml:space="preserve"> PAGEREF _Toc72330660 \h </w:instrTex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separate"/>
                  </w:r>
                  <w:r w:rsidR="00D24955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t>22</w:t>
                  </w:r>
                  <w:r w:rsidR="00085376" w:rsidRPr="00CD1FD1">
                    <w:rPr>
                      <w:rFonts w:ascii="Museo Sans 300" w:hAnsi="Museo Sans 300"/>
                      <w:noProof/>
                      <w:webHidden/>
                      <w:sz w:val="22"/>
                      <w:szCs w:val="22"/>
                    </w:rPr>
                    <w:fldChar w:fldCharType="end"/>
                  </w:r>
                </w:hyperlink>
              </w:p>
              <w:p w:rsidR="006B1211" w:rsidRPr="00CD1FD1" w:rsidRDefault="006B1211">
                <w:pPr>
                  <w:rPr>
                    <w:rFonts w:ascii="Museo Sans 300" w:hAnsi="Museo Sans 300"/>
                    <w:sz w:val="22"/>
                    <w:szCs w:val="22"/>
                  </w:rPr>
                </w:pPr>
                <w:r w:rsidRPr="00CD1FD1">
                  <w:rPr>
                    <w:rFonts w:ascii="Museo Sans 300" w:hAnsi="Museo Sans 300"/>
                    <w:b/>
                    <w:bCs/>
                    <w:sz w:val="22"/>
                    <w:szCs w:val="22"/>
                    <w:lang w:val="es-ES"/>
                  </w:rPr>
                  <w:fldChar w:fldCharType="end"/>
                </w:r>
              </w:p>
            </w:sdtContent>
          </w:sdt>
          <w:p w:rsidR="006B1211" w:rsidRPr="00CD1FD1" w:rsidRDefault="006B1211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6B1211" w:rsidRPr="00CD1FD1" w:rsidRDefault="006B1211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6B1211" w:rsidRPr="00CD1FD1" w:rsidRDefault="006B1211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85376" w:rsidRPr="00CD1FD1" w:rsidRDefault="00085376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593A7A" w:rsidRPr="00CD1FD1" w:rsidRDefault="00593A7A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7A50C2" w:rsidRPr="00CD1FD1" w:rsidRDefault="007A50C2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0C08C9" w:rsidRPr="00CD1FD1" w:rsidRDefault="000C08C9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6B1211" w:rsidRPr="00CD1FD1" w:rsidRDefault="006B1211" w:rsidP="006B1211">
            <w:pPr>
              <w:pStyle w:val="Heading1"/>
              <w:pBdr>
                <w:bottom w:val="single" w:sz="4" w:space="1" w:color="333399"/>
              </w:pBdr>
              <w:rPr>
                <w:rFonts w:ascii="Museo Sans 300" w:hAnsi="Museo Sans 300"/>
                <w:color w:val="000080"/>
                <w:sz w:val="22"/>
                <w:szCs w:val="22"/>
                <w:lang w:val="es-MX"/>
              </w:rPr>
            </w:pPr>
            <w:bookmarkStart w:id="5" w:name="_Toc56581203"/>
            <w:bookmarkStart w:id="6" w:name="_Toc72330643"/>
            <w:r w:rsidRPr="00CD1FD1">
              <w:rPr>
                <w:rFonts w:ascii="Museo Sans 300" w:hAnsi="Museo Sans 300"/>
                <w:color w:val="000080"/>
                <w:sz w:val="22"/>
                <w:szCs w:val="22"/>
                <w:lang w:val="es-MX"/>
              </w:rPr>
              <w:lastRenderedPageBreak/>
              <w:t>RESUMEN EJECUTIVO</w:t>
            </w:r>
            <w:bookmarkEnd w:id="5"/>
            <w:bookmarkEnd w:id="6"/>
          </w:p>
          <w:p w:rsidR="006B1211" w:rsidRPr="00CD1FD1" w:rsidRDefault="006B1211" w:rsidP="006B1211">
            <w:pPr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6B1211">
            <w:pPr>
              <w:jc w:val="both"/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b/>
                <w:color w:val="5B9BD5"/>
                <w:sz w:val="22"/>
                <w:szCs w:val="22"/>
                <w:lang w:val="es-MX"/>
              </w:rPr>
              <w:t>I</w:t>
            </w:r>
            <w:r w:rsidRPr="00CD1FD1">
              <w:rPr>
                <w:rFonts w:ascii="Museo Sans 300" w:hAnsi="Museo Sans 300"/>
                <w:color w:val="5B9BD5"/>
                <w:sz w:val="22"/>
                <w:szCs w:val="22"/>
                <w:lang w:val="es-MX"/>
              </w:rPr>
              <w:t>.</w:t>
            </w:r>
            <w:r w:rsidRPr="00CD1FD1"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  <w:t xml:space="preserve">  La ejecución financiera del Sector Público No Financiero (SPNF) </w:t>
            </w:r>
            <w:r w:rsidR="00355D4B" w:rsidRPr="00CD1FD1"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  <w:t>a marzo 2022</w:t>
            </w:r>
            <w:r w:rsidRPr="00CD1FD1"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  <w:t xml:space="preserve"> presentó los resultados siguientes:</w:t>
            </w:r>
          </w:p>
          <w:p w:rsidR="006B1211" w:rsidRPr="00CD1FD1" w:rsidRDefault="006B1211" w:rsidP="006B121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5E2F06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E2F06" w:rsidRPr="00CD1FD1" w:rsidRDefault="005E2F06" w:rsidP="004765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Fiscal del SPNF consolidado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al mes de marzo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, presenta un déficit (sin pensiones) de $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83.2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al -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0.3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 proyectado, con un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mejora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de 0.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del PIB en relación al resultado a marzo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 Al incorporar el pago de las pensiones por $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73.1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el déficit se </w:t>
            </w:r>
            <w:r w:rsidR="00DD0040" w:rsidRPr="00CD1FD1">
              <w:rPr>
                <w:rFonts w:ascii="Museo Sans 300" w:hAnsi="Museo Sans 300"/>
                <w:sz w:val="22"/>
                <w:szCs w:val="22"/>
                <w:lang w:val="es-MX"/>
              </w:rPr>
              <w:t>amplió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 $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156.3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con </w:t>
            </w:r>
            <w:r w:rsidR="00660D4C" w:rsidRPr="00CD1FD1">
              <w:rPr>
                <w:rFonts w:ascii="Museo Sans 300" w:hAnsi="Museo Sans 300"/>
                <w:sz w:val="22"/>
                <w:szCs w:val="22"/>
                <w:lang w:val="es-MX"/>
              </w:rPr>
              <w:t>un</w:t>
            </w:r>
            <w:r w:rsidR="00DD0040" w:rsidRPr="00CD1FD1">
              <w:rPr>
                <w:rFonts w:ascii="Museo Sans 300" w:hAnsi="Museo Sans 300"/>
                <w:sz w:val="22"/>
                <w:szCs w:val="22"/>
                <w:lang w:val="es-MX"/>
              </w:rPr>
              <w:t>a mejora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$1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67.9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respecto a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>l año anterior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 En términos del PIB el déficit representa un -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0.5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</w:p>
          <w:p w:rsidR="006B1211" w:rsidRPr="00CD1FD1" w:rsidRDefault="006B1211" w:rsidP="006B1211">
            <w:pPr>
              <w:ind w:left="284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4765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primario (con pensiones), obtuvo un </w:t>
            </w:r>
            <w:r w:rsidR="005E2F06" w:rsidRPr="00CD1FD1">
              <w:rPr>
                <w:rFonts w:ascii="Museo Sans 300" w:hAnsi="Museo Sans 300"/>
                <w:sz w:val="22"/>
                <w:szCs w:val="22"/>
                <w:lang w:val="es-MX"/>
              </w:rPr>
              <w:t>superávit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295.0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1.0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del PIB, que con respecto al 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resultado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se generó una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variación positiva de $198.2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 </w:t>
            </w:r>
          </w:p>
          <w:p w:rsidR="006B1211" w:rsidRPr="00CD1FD1" w:rsidRDefault="006B1211" w:rsidP="006B1211">
            <w:pPr>
              <w:ind w:left="284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615BE" w:rsidRPr="00CD1FD1" w:rsidRDefault="005E2F06" w:rsidP="004765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6A326C" w:rsidRPr="00CD1FD1">
              <w:rPr>
                <w:rFonts w:ascii="Museo Sans 300" w:hAnsi="Museo Sans 300"/>
                <w:sz w:val="22"/>
                <w:szCs w:val="22"/>
                <w:lang w:val="es-MX"/>
              </w:rPr>
              <w:t>a marzo de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registraron un valor de $1,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920.8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de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23.2%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, equivalente a $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361.8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en relación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marzo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originado principalmente por el aumento en el valor de los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>i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ngresos corrientes de $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358.6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</w:t>
            </w:r>
            <w:r w:rsidR="006615B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ingresos totales representaron un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6.3</w:t>
            </w:r>
            <w:r w:rsidR="006615BE"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PIB.</w:t>
            </w:r>
          </w:p>
          <w:p w:rsidR="005E2F06" w:rsidRPr="00CD1FD1" w:rsidRDefault="005E2F06" w:rsidP="00533421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615BE" w:rsidRPr="00CD1FD1" w:rsidRDefault="006615BE" w:rsidP="004765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La recaudación tributaria (incluyendo las contribuciones) alcanzó un monto de $1,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634.8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incrementándose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$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328.5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representando una carga tributaria de 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5.4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relación al PIB, 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superior en 0.9 puntos porcentuales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la registrada a marzo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Por fuente específica, </w:t>
            </w:r>
            <w:r w:rsidR="006B616F" w:rsidRPr="00CD1FD1">
              <w:rPr>
                <w:rFonts w:ascii="Museo Sans 300" w:hAnsi="Museo Sans 300"/>
                <w:sz w:val="22"/>
                <w:szCs w:val="22"/>
                <w:lang w:val="es-MX"/>
              </w:rPr>
              <w:t>e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 Impuesto al Valor Agregado registró un flujo acumulado de $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806.6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lo que representa un incremento de 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 El Impuesto sobre la Renta alcanzó un valor recaudado de $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629.8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observándose un incremento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35.7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respecto al 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mismo período del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año anterior. La recaudación por Derechos Arancelarios a la Importación de Bienes registró un total de $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78.0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millones,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un incremento de $1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5.4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, esta recuperación está asociada al incremento observado en las importaciones de bienes de 2</w:t>
            </w:r>
            <w:r w:rsidR="00694F2F" w:rsidRPr="00CD1FD1">
              <w:rPr>
                <w:rFonts w:ascii="Museo Sans 300" w:hAnsi="Museo Sans 300"/>
                <w:sz w:val="22"/>
                <w:szCs w:val="22"/>
                <w:lang w:val="es-MX"/>
              </w:rPr>
              <w:t>9.6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%. </w:t>
            </w:r>
          </w:p>
          <w:p w:rsidR="006615BE" w:rsidRPr="00CD1FD1" w:rsidRDefault="006615BE" w:rsidP="00DD0040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E36BBA" w:rsidRPr="00CD1FD1" w:rsidRDefault="00E36BBA" w:rsidP="004765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Los ingresos no tributarios a nivel de SPNF registraron un monto de $2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61.2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experimentando un crecimiento de $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29.2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relación al mes de marzo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E36BBA" w:rsidRPr="00CD1FD1" w:rsidRDefault="00E36BBA" w:rsidP="00E36BBA">
            <w:pPr>
              <w:ind w:left="284"/>
              <w:jc w:val="both"/>
              <w:rPr>
                <w:rFonts w:ascii="Museo Sans 300" w:hAnsi="Museo Sans 300"/>
                <w:sz w:val="22"/>
                <w:szCs w:val="22"/>
                <w:lang w:val="es-SV"/>
              </w:rPr>
            </w:pPr>
          </w:p>
          <w:p w:rsidR="00E36BBA" w:rsidRPr="00CD1FD1" w:rsidRDefault="00E36BBA" w:rsidP="0047657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ejecución del gasto total del SPNF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al mes de marzo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2,004.0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con un incremento de $1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89.4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respecto al año anterior. </w:t>
            </w:r>
          </w:p>
          <w:p w:rsidR="00E36BBA" w:rsidRPr="00CD1FD1" w:rsidRDefault="00E36BBA" w:rsidP="00E36BBA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E5765" w:rsidRPr="00CD1FD1" w:rsidRDefault="00E36BBA" w:rsidP="00DB57C7">
            <w:pPr>
              <w:pStyle w:val="BodyText2"/>
              <w:numPr>
                <w:ilvl w:val="0"/>
                <w:numId w:val="17"/>
              </w:numPr>
              <w:spacing w:after="0" w:line="240" w:lineRule="auto"/>
              <w:ind w:right="-32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Los gastos corrientes del SPNF registraron un monto de $1,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856.9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de </w:t>
            </w:r>
            <w:r w:rsidR="00A269A6" w:rsidRPr="00CD1FD1">
              <w:rPr>
                <w:rFonts w:ascii="Museo Sans 300" w:hAnsi="Museo Sans 300"/>
                <w:sz w:val="22"/>
                <w:szCs w:val="22"/>
                <w:lang w:val="es-MX"/>
              </w:rPr>
              <w:t>9.6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%, reflejado en todos los rubros que lo conforman. </w:t>
            </w:r>
          </w:p>
          <w:p w:rsidR="00A3121E" w:rsidRPr="00CD1FD1" w:rsidRDefault="00A3121E" w:rsidP="00476577">
            <w:pPr>
              <w:pStyle w:val="BodyText2"/>
              <w:numPr>
                <w:ilvl w:val="0"/>
                <w:numId w:val="17"/>
              </w:numPr>
              <w:spacing w:after="0" w:line="240" w:lineRule="auto"/>
              <w:ind w:right="-32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gastos de capital del SPNF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al mes de marzo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alcanzaron un monto de $1</w:t>
            </w:r>
            <w:r w:rsidR="006E5765" w:rsidRPr="00CD1FD1">
              <w:rPr>
                <w:rFonts w:ascii="Museo Sans 300" w:hAnsi="Museo Sans 300"/>
                <w:sz w:val="22"/>
                <w:szCs w:val="22"/>
                <w:lang w:val="es-MX"/>
              </w:rPr>
              <w:t>47.2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experimentando un crecimiento de </w:t>
            </w:r>
            <w:r w:rsidR="006E5765" w:rsidRPr="00CD1FD1">
              <w:rPr>
                <w:rFonts w:ascii="Museo Sans 300" w:hAnsi="Museo Sans 300"/>
                <w:sz w:val="22"/>
                <w:szCs w:val="22"/>
                <w:lang w:val="es-MX"/>
              </w:rPr>
              <w:t>22.4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resultado de </w:t>
            </w:r>
            <w:r w:rsidR="006066C6" w:rsidRPr="00CD1FD1">
              <w:rPr>
                <w:rFonts w:ascii="Museo Sans 300" w:hAnsi="Museo Sans 300"/>
                <w:sz w:val="22"/>
                <w:szCs w:val="22"/>
                <w:lang w:val="es-MX"/>
              </w:rPr>
              <w:t>incrementos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la Inversión de $</w:t>
            </w:r>
            <w:r w:rsidR="006E5765" w:rsidRPr="00CD1FD1">
              <w:rPr>
                <w:rFonts w:ascii="Museo Sans 300" w:hAnsi="Museo Sans 300"/>
                <w:sz w:val="22"/>
                <w:szCs w:val="22"/>
                <w:lang w:val="es-MX"/>
              </w:rPr>
              <w:t>17.6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</w:t>
            </w:r>
            <w:r w:rsidR="006066C6" w:rsidRPr="00CD1FD1">
              <w:rPr>
                <w:rFonts w:ascii="Museo Sans 300" w:hAnsi="Museo Sans 300"/>
                <w:sz w:val="22"/>
                <w:szCs w:val="22"/>
                <w:lang w:val="es-MX"/>
              </w:rPr>
              <w:t>y en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las transferencias de capital por $</w:t>
            </w:r>
            <w:r w:rsidR="006E5765" w:rsidRPr="00CD1FD1">
              <w:rPr>
                <w:rFonts w:ascii="Museo Sans 300" w:hAnsi="Museo Sans 300"/>
                <w:sz w:val="22"/>
                <w:szCs w:val="22"/>
                <w:lang w:val="es-MX"/>
              </w:rPr>
              <w:t>9.4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originado principalmente por transferencia efectuada al Ramo de Educación, </w:t>
            </w:r>
            <w:r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destinada </w:t>
            </w:r>
            <w:r w:rsidR="001A0A78"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FE7891"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Programas en </w:t>
            </w:r>
            <w:r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áreas de </w:t>
            </w:r>
            <w:proofErr w:type="spellStart"/>
            <w:r w:rsidRPr="00A17F3B">
              <w:rPr>
                <w:rFonts w:ascii="Museo Sans 300" w:hAnsi="Museo Sans 300"/>
                <w:sz w:val="22"/>
                <w:szCs w:val="22"/>
                <w:lang w:val="es-MX"/>
              </w:rPr>
              <w:t>parvulari</w:t>
            </w:r>
            <w:r w:rsidR="00026278" w:rsidRPr="00A17F3B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proofErr w:type="spellEnd"/>
            <w:r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media, básica, y </w:t>
            </w:r>
            <w:r w:rsidRPr="00A17F3B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subsidios</w:t>
            </w:r>
            <w:r w:rsidR="00FE7891" w:rsidRPr="00A17F3B">
              <w:rPr>
                <w:rFonts w:ascii="Museo Sans 300" w:hAnsi="Museo Sans 300"/>
                <w:sz w:val="22"/>
                <w:szCs w:val="22"/>
                <w:lang w:val="es-MX"/>
              </w:rPr>
              <w:t>, entre</w:t>
            </w:r>
            <w:r w:rsidRPr="00A17F3B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 otros.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términos absolutos la inversión registró un monto de $</w:t>
            </w:r>
            <w:r w:rsidR="006E5765" w:rsidRPr="00CD1FD1">
              <w:rPr>
                <w:rFonts w:ascii="Museo Sans 300" w:hAnsi="Museo Sans 300"/>
                <w:sz w:val="22"/>
                <w:szCs w:val="22"/>
                <w:lang w:val="es-MX"/>
              </w:rPr>
              <w:t>111.4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un nivel de 0.</w:t>
            </w:r>
            <w:r w:rsidR="006E5765" w:rsidRPr="00CD1FD1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 w:rsidR="00A75C50"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A3121E" w:rsidRPr="00CD1FD1" w:rsidRDefault="00A3121E" w:rsidP="00A3121E">
            <w:pPr>
              <w:pStyle w:val="BodyText2"/>
              <w:spacing w:after="0" w:line="240" w:lineRule="auto"/>
              <w:ind w:right="-32"/>
              <w:jc w:val="both"/>
              <w:rPr>
                <w:rFonts w:ascii="Museo Sans 300" w:hAnsi="Museo Sans 300" w:cs="Arial"/>
                <w:iCs/>
                <w:strike/>
                <w:sz w:val="22"/>
                <w:szCs w:val="22"/>
              </w:rPr>
            </w:pPr>
          </w:p>
          <w:p w:rsidR="00A3121E" w:rsidRPr="00CD1FD1" w:rsidRDefault="00A3121E" w:rsidP="00476577">
            <w:pPr>
              <w:pStyle w:val="ListParagraph"/>
              <w:numPr>
                <w:ilvl w:val="0"/>
                <w:numId w:val="17"/>
              </w:numPr>
              <w:ind w:right="-32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deuda del SPNF sin incluir pensiones </w:t>
            </w:r>
            <w:r w:rsidR="00355D4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al mes de marzo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$1</w:t>
            </w:r>
            <w:r w:rsidR="0061127C" w:rsidRPr="00CD1FD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,643.1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58.0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PIB. Este valor está compuesto por $1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1,481.2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que corresponden a deuda externa, y representan un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37.7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 y $</w:t>
            </w:r>
            <w:r w:rsidR="006066C6" w:rsidRPr="00ED3D89">
              <w:rPr>
                <w:rFonts w:ascii="Museo Sans 300" w:hAnsi="Museo Sans 300"/>
                <w:sz w:val="22"/>
                <w:szCs w:val="22"/>
                <w:lang w:val="es-MX"/>
              </w:rPr>
              <w:t>6,1</w:t>
            </w:r>
            <w:r w:rsidR="00E45504" w:rsidRPr="00ED3D89">
              <w:rPr>
                <w:rFonts w:ascii="Museo Sans 300" w:hAnsi="Museo Sans 300"/>
                <w:sz w:val="22"/>
                <w:szCs w:val="22"/>
                <w:lang w:val="es-MX"/>
              </w:rPr>
              <w:t>6</w:t>
            </w:r>
            <w:r w:rsidR="006066C6" w:rsidRPr="00ED3D89">
              <w:rPr>
                <w:rFonts w:ascii="Museo Sans 300" w:hAnsi="Museo Sans 300"/>
                <w:sz w:val="22"/>
                <w:szCs w:val="22"/>
                <w:lang w:val="es-MX"/>
              </w:rPr>
              <w:t>1.9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correspondientes a deuda interna, equivalente a un </w:t>
            </w:r>
            <w:r w:rsidR="006066C6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del PIB, dentro del cual 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destaca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$1,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112.6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corresponden a LETES y $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1,304.8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a CETES. Al incluir el saldo de Fideicomiso de Obligaciones Previsionales (CIP serie A) por $5,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880.3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los </w:t>
            </w:r>
            <w:r w:rsidR="0031628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que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representan un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19.3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% del PIB, la deuda interna asciende a $1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2,042.2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millones.</w:t>
            </w:r>
            <w:r w:rsidR="0002627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El saldo total de la deuda del SPNF con pensiones asciende a $2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3,523.4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que equivalen al </w:t>
            </w:r>
            <w:r w:rsidR="003C4732" w:rsidRPr="00CD1FD1">
              <w:rPr>
                <w:rFonts w:ascii="Museo Sans 300" w:hAnsi="Museo Sans 300"/>
                <w:sz w:val="22"/>
                <w:szCs w:val="22"/>
                <w:lang w:val="es-MX"/>
              </w:rPr>
              <w:t>77.3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del PIB, lo que representa un </w:t>
            </w:r>
            <w:r w:rsidR="008F1579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aumento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793E13" w:rsidRPr="00CD1FD1">
              <w:rPr>
                <w:rFonts w:ascii="Museo Sans 300" w:hAnsi="Museo Sans 300"/>
                <w:sz w:val="22"/>
                <w:szCs w:val="22"/>
                <w:lang w:val="es-MX"/>
              </w:rPr>
              <w:t>0.9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porcentual con respecto al saldo registrado en marzo de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A3121E" w:rsidRPr="00CD1FD1" w:rsidRDefault="00A3121E" w:rsidP="003B736D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SV"/>
              </w:rPr>
            </w:pPr>
          </w:p>
          <w:p w:rsidR="00A75C50" w:rsidRPr="00CD1FD1" w:rsidRDefault="00A75C50" w:rsidP="006B121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6B1211">
            <w:pPr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  <w:t>II. Entorno Macroeconómico</w:t>
            </w:r>
          </w:p>
          <w:p w:rsidR="006B1211" w:rsidRPr="00CD1FD1" w:rsidRDefault="006B1211" w:rsidP="006B1211">
            <w:pPr>
              <w:rPr>
                <w:rFonts w:ascii="Museo Sans 300" w:hAnsi="Museo Sans 300"/>
                <w:color w:val="2E74B5"/>
                <w:sz w:val="22"/>
                <w:szCs w:val="22"/>
                <w:lang w:val="es-MX"/>
              </w:rPr>
            </w:pPr>
          </w:p>
          <w:p w:rsidR="006B1211" w:rsidRPr="00CD1FD1" w:rsidRDefault="006B1211" w:rsidP="006B121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51D87" w:rsidRPr="00CD1FD1" w:rsidRDefault="001D0083" w:rsidP="00A51D87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3E28F3" w:rsidRPr="00CD1FD1">
              <w:rPr>
                <w:rFonts w:ascii="Museo Sans 300" w:hAnsi="Museo Sans 300"/>
                <w:sz w:val="22"/>
                <w:szCs w:val="22"/>
                <w:lang w:val="es-MX"/>
              </w:rPr>
              <w:t>continuación,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se presentan l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os resultados de economía nacional a </w:t>
            </w:r>
            <w:r w:rsidR="00442690" w:rsidRPr="00CD1FD1">
              <w:rPr>
                <w:rFonts w:ascii="Museo Sans 300" w:hAnsi="Museo Sans 300"/>
                <w:sz w:val="22"/>
                <w:szCs w:val="22"/>
                <w:lang w:val="es-MX"/>
              </w:rPr>
              <w:t>marzo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</w:t>
            </w:r>
            <w:r w:rsidR="0064579A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basado de estadísticas </w:t>
            </w:r>
            <w:r w:rsidR="00CD06CE" w:rsidRPr="00CD1FD1">
              <w:rPr>
                <w:rFonts w:ascii="Museo Sans 300" w:hAnsi="Museo Sans 300"/>
                <w:sz w:val="22"/>
                <w:szCs w:val="22"/>
                <w:lang w:val="es-MX"/>
              </w:rPr>
              <w:t>sobre</w:t>
            </w:r>
            <w:r w:rsidR="005924A9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las principales variables 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macroeconómicas </w:t>
            </w:r>
            <w:r w:rsidR="00CD06C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publicadas por 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BCR </w:t>
            </w:r>
            <w:r w:rsidR="00334A3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marzo 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64579A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A51D87"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A51D87" w:rsidRPr="00CD1FD1" w:rsidRDefault="00A51D87" w:rsidP="00A51D87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CE25E7" w:rsidRPr="00CD1FD1" w:rsidRDefault="00CE25E7" w:rsidP="006158EF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476577" w:rsidRPr="00CD1FD1" w:rsidRDefault="0047657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 w:cs="Calibri"/>
                <w:color w:val="000000"/>
                <w:sz w:val="22"/>
                <w:szCs w:val="22"/>
                <w:lang w:val="es-SV" w:eastAsia="es-SV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El IVAE (nueva serie desestacionalizada) registró al mes de marzo de 2022 una variación anual de 3.4% (8.6% en marzo de 2021). Las ramas con mayor rendimiento destacan: Agricultura, Ganadería, Silvicultura Pesca, 1.8%; Construcción, 6.7%; Actividades Financieras y de Seguros, 4.0%; Información y Comunicaciones,3.5%</w:t>
            </w:r>
            <w:r w:rsidR="003D46A2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; </w:t>
            </w:r>
            <w:r w:rsidR="000962EE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Actividades</w:t>
            </w:r>
            <w:r w:rsidR="000962EE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D46A2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Profesionales, Científicas, Técnicas, Administrativas, de Apoyo y Otros Servicios, 6.1%</w:t>
            </w:r>
            <w:r w:rsidR="000962EE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 xml:space="preserve">; </w:t>
            </w:r>
            <w:r w:rsidR="003D46A2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 xml:space="preserve">Actividades </w:t>
            </w:r>
            <w:r w:rsidR="000962EE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Inmobiliarias</w:t>
            </w:r>
            <w:r w:rsidR="003D46A2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, 5.5%;</w:t>
            </w:r>
            <w:r w:rsidR="000962EE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 xml:space="preserve"> </w:t>
            </w:r>
            <w:r w:rsidR="003D46A2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Activida</w:t>
            </w:r>
            <w:r w:rsidR="000962EE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d</w:t>
            </w:r>
            <w:r w:rsidR="003D46A2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 xml:space="preserve">es de Administración </w:t>
            </w:r>
            <w:r w:rsidR="000962EE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>Pública</w:t>
            </w:r>
            <w:r w:rsidR="003D46A2" w:rsidRPr="00CD1FD1">
              <w:rPr>
                <w:rFonts w:ascii="Museo Sans 300" w:hAnsi="Museo Sans 300" w:cs="Calibri"/>
                <w:color w:val="000000"/>
                <w:sz w:val="22"/>
                <w:szCs w:val="22"/>
              </w:rPr>
              <w:t xml:space="preserve"> y Defensa, 6.3%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64579A" w:rsidRPr="00CD1FD1" w:rsidRDefault="0064579A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inflación anual </w:t>
            </w:r>
            <w:r w:rsidR="00CE25E7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marzo 2022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fue de 6.7%, debido al aumento en la mayoría de las divisiones, siendo las principales las siguientes: División de Alimentos y bebidas no alcohólicas (9.81%); Muebles, artículos para el hogar (8.68%); Transporte (7.78%); Restaurantes y hoteles (7.24%). Por otra parte, la 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>D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ivisión de Comunicaciones</w:t>
            </w:r>
            <w:r w:rsidR="003F333F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registró 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una </w:t>
            </w:r>
            <w:r w:rsidR="003F333F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reducción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(-0.11%). </w:t>
            </w:r>
          </w:p>
          <w:p w:rsidR="00CE25E7" w:rsidRPr="00CD1FD1" w:rsidRDefault="00CE25E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7" w:name="_Hlk60986249"/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evolución del empleo formal al mes de enero de 2022 </w:t>
            </w:r>
            <w:bookmarkStart w:id="8" w:name="_Hlk58933288"/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alcanzó </w:t>
            </w:r>
            <w:bookmarkEnd w:id="8"/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un total de 912,150 trabajadores, registrándose una variación anual de 57,932 empleos (6.8%), compuesto por incrementos de 57,224 en sector privado y de 708 en el sector público. La crisis por la Pandemia del COVID-19 caus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>ó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una pérdida alrededor de 65,000 empleos entre los periodos de diciembre 2019 a junio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pero del periodo indicado (junio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2021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) al mes de enero del 2022, se han recuperado un total de 102,262 empleos, de los cuales 93,375 pertenecen al sector privado.</w:t>
            </w:r>
          </w:p>
          <w:bookmarkEnd w:id="7"/>
          <w:p w:rsidR="00CE25E7" w:rsidRPr="00CD1FD1" w:rsidRDefault="00CE25E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Las exportaciones a marzo 2022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registraron un total de $1,888.0 millones con una variación anual de 17.7% equivalentes a $283.5 millones, de conformidad a la Clasificación Internacional Industrial Uniforme Revisión 4 (CIIU Rev. 4), se reportan incrementos en las industrias manufactureras por $206.9 millones; la maquila por $53.4 millones; en agricultura, ganadería silvicultura y pesca por $23.0 millones; y en suministro de electricidad, gas, vapor y aire acondicionado por $1.3 millones; en cambio 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comercio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report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>ó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disminución por $0.7 millones; y en explotación de minas y canteras por $0.3 millones. </w:t>
            </w:r>
          </w:p>
          <w:p w:rsidR="00CE25E7" w:rsidRPr="00CD1FD1" w:rsidRDefault="00CE25E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importaciones ascendieron a $4,352.3 millones, aumentando en 29.6% ($993.5 millones), según su clasificación económica, se registró por rubros el comportamiento siguiente: las importaciones de bienes de consumo incrementaron 23.2% ($303.4 millones); los bienes intermedios incrementaron en 47.9% ($609.7 millones); los bienes de capital reflejaron un aumento de 5.5% ($33.5 millones); y la maquila registro un aumento de 27.0% ($46.9 millones). </w:t>
            </w:r>
          </w:p>
          <w:p w:rsidR="00292299" w:rsidRPr="00CD1FD1" w:rsidRDefault="00292299" w:rsidP="00292299">
            <w:pPr>
              <w:rPr>
                <w:rFonts w:ascii="Museo Sans 300" w:hAnsi="Museo Sans 300"/>
                <w:sz w:val="22"/>
                <w:szCs w:val="22"/>
              </w:rPr>
            </w:pPr>
            <w:r w:rsidRPr="00CD1FD1">
              <w:rPr>
                <w:rFonts w:ascii="Museo Sans 300" w:hAnsi="Museo Sans 300"/>
                <w:sz w:val="22"/>
                <w:szCs w:val="22"/>
              </w:rPr>
              <w:t xml:space="preserve"> </w:t>
            </w:r>
            <w:r w:rsidRPr="00CD1FD1">
              <w:rPr>
                <w:rFonts w:ascii="Museo Sans 300" w:hAnsi="Museo Sans 300" w:cs="Arial"/>
                <w:color w:val="000000"/>
                <w:sz w:val="22"/>
                <w:szCs w:val="22"/>
                <w:lang w:eastAsia="es-SV"/>
              </w:rPr>
              <w:t> </w:t>
            </w:r>
          </w:p>
          <w:p w:rsidR="00CE25E7" w:rsidRPr="00CD1FD1" w:rsidRDefault="00CE25E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Las Remesas familiares acumularon un monto de $1,802.3 millones, con un incremento anual de $100.5 millones equivalentes a 5.9%. Según reportes del BCR, el comportamiento anterior se debe en parte a la recuperación económic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los Estados Unidos; 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asociada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a la reducción de la tasa de desempleo de latinos</w:t>
            </w:r>
          </w:p>
          <w:p w:rsidR="00CE25E7" w:rsidRPr="00CD1FD1" w:rsidRDefault="00CE25E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La factura petrolera alcanzó un total de $615.1 millones (reportándose un crecimiento inter anual de $221.7 millones equivalente a 56.3%), y el monto total de la factura representa el 14.1% del total de las importaciones; por su parte</w:t>
            </w:r>
            <w:r w:rsidR="00F67A2B" w:rsidRPr="00CD1FD1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el volumen registró 773.3 millones de Kilogramos resultando un incremento del 10.1% equivalentes a 71.0 millones de kilogramos. </w:t>
            </w:r>
          </w:p>
          <w:p w:rsidR="00CE25E7" w:rsidRPr="00CD1FD1" w:rsidRDefault="00CE25E7" w:rsidP="00476577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En el sector financiero (al mes de marzo) se reportó una tasa de interés activa de 6.13% mayor que la del año anterior en 8 puntos base. Por su parte, tasa básica pasiva se ubicó en 4.50% mayor que la del año anterior en 47 puntos base.</w:t>
            </w:r>
          </w:p>
          <w:p w:rsidR="00CE25E7" w:rsidRPr="00CD1FD1" w:rsidRDefault="00CE25E7" w:rsidP="0047657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saldo </w:t>
            </w:r>
            <w:bookmarkStart w:id="9" w:name="_Hlk93648108"/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la cartera préstamo </w:t>
            </w:r>
            <w:bookmarkEnd w:id="9"/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(Bancos, Bancos Cooperativos y Sociedades de Ahorro y Crédito) por sector económico al 31 de marzo de 2022 fue de $16,183.7 millones, registrando un crecimiento anual de 7.8% ($1,175.8 millones). Los sectores que reportaron mayores saldos fueron: consumo; adquisición de vivienda; comercio; industria; y servicios, los cuales acumularon un 82.5% del saldo total.</w:t>
            </w:r>
          </w:p>
          <w:p w:rsidR="00CE25E7" w:rsidRPr="00CD1FD1" w:rsidRDefault="00CE25E7" w:rsidP="00A335C9">
            <w:pPr>
              <w:spacing w:after="200" w:line="276" w:lineRule="auto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334A38" w:rsidRPr="00CD1FD1" w:rsidRDefault="00334A38" w:rsidP="00334A38">
            <w:pPr>
              <w:spacing w:after="200" w:line="276" w:lineRule="auto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19773D" w:rsidRPr="00CD1FD1" w:rsidRDefault="0019773D" w:rsidP="001D0083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6B1211">
            <w:pPr>
              <w:pStyle w:val="ListParagraph"/>
              <w:ind w:left="305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E249D" w:rsidRPr="00CD1FD1" w:rsidRDefault="00BE249D" w:rsidP="00BE249D">
            <w:pPr>
              <w:pStyle w:val="ListParagrap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E249D" w:rsidRPr="00CD1FD1" w:rsidRDefault="00BE249D" w:rsidP="00BE249D">
            <w:pPr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CD1FD1" w:rsidRDefault="006B1211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D540FA" w:rsidRPr="00CD1FD1" w:rsidRDefault="006B1211" w:rsidP="00D55CD7">
            <w:pPr>
              <w:jc w:val="both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>GESTION</w:t>
            </w:r>
            <w:r w:rsidR="00D540FA"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 DE LAS FINANZAS PÚBLICAS</w:t>
            </w:r>
            <w:bookmarkEnd w:id="4"/>
            <w:bookmarkEnd w:id="3"/>
            <w:bookmarkEnd w:id="2"/>
          </w:p>
          <w:p w:rsidR="0034685B" w:rsidRPr="00CD1FD1" w:rsidRDefault="0034685B" w:rsidP="00D55CD7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0" w:name="_Toc411843460"/>
          </w:p>
          <w:p w:rsidR="00D540FA" w:rsidRPr="00CD1FD1" w:rsidRDefault="009B117C" w:rsidP="006733D2">
            <w:pPr>
              <w:pStyle w:val="Heading3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  <w:bookmarkStart w:id="11" w:name="_Toc505951454"/>
            <w:bookmarkStart w:id="12" w:name="_Toc56581204"/>
            <w:bookmarkStart w:id="13" w:name="_Toc72330644"/>
            <w:r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1. </w:t>
            </w:r>
            <w:r w:rsidR="00D540FA"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>Ingresos Totales</w:t>
            </w:r>
            <w:bookmarkEnd w:id="10"/>
            <w:bookmarkEnd w:id="11"/>
            <w:r w:rsidR="00B2286A"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 del SPNF</w:t>
            </w:r>
            <w:r w:rsidR="00912173"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 (ver anexo 3)</w:t>
            </w:r>
            <w:r w:rsidR="00B2286A" w:rsidRPr="00CD1FD1">
              <w:rPr>
                <w:rFonts w:ascii="Museo Sans 300" w:hAnsi="Museo Sans 300"/>
                <w:b/>
                <w:sz w:val="22"/>
                <w:szCs w:val="22"/>
                <w:lang w:val="es-MX"/>
              </w:rPr>
              <w:t>.</w:t>
            </w:r>
            <w:bookmarkEnd w:id="12"/>
            <w:bookmarkEnd w:id="13"/>
          </w:p>
          <w:p w:rsidR="00D540FA" w:rsidRPr="00CD1FD1" w:rsidRDefault="00D540FA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649A2" w:rsidRPr="00CD1FD1" w:rsidRDefault="0044329E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</w:t>
            </w:r>
            <w:r w:rsidR="00964E9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totales </w:t>
            </w:r>
            <w:r w:rsidR="006A326C" w:rsidRPr="00CD1FD1">
              <w:rPr>
                <w:rFonts w:ascii="Museo Sans 300" w:hAnsi="Museo Sans 300"/>
                <w:sz w:val="22"/>
                <w:szCs w:val="22"/>
                <w:lang w:val="es-MX"/>
              </w:rPr>
              <w:t>a marzo de 2022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ascendieron a un total de $</w:t>
            </w:r>
            <w:r w:rsidR="002E1B9C" w:rsidRPr="00CD1FD1">
              <w:rPr>
                <w:rFonts w:ascii="Museo Sans 300" w:hAnsi="Museo Sans 300"/>
                <w:sz w:val="22"/>
                <w:szCs w:val="22"/>
                <w:lang w:val="es-MX"/>
              </w:rPr>
              <w:t>1,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920.8</w:t>
            </w:r>
            <w:r w:rsidR="0077621C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millones, valor que representa un</w:t>
            </w:r>
            <w:r w:rsidR="002E1B9C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incremento </w:t>
            </w:r>
            <w:r w:rsidR="00964E98" w:rsidRPr="00CD1FD1">
              <w:rPr>
                <w:rFonts w:ascii="Museo Sans 300" w:hAnsi="Museo Sans 300"/>
                <w:sz w:val="22"/>
                <w:szCs w:val="22"/>
                <w:lang w:val="es-MX"/>
              </w:rPr>
              <w:t>inter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>anual de</w:t>
            </w:r>
            <w:r w:rsidR="00964E9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23.2</w:t>
            </w:r>
            <w:r w:rsidR="00964E98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%, </w:t>
            </w:r>
            <w:r w:rsidR="00AE6362" w:rsidRPr="00CD1FD1">
              <w:rPr>
                <w:rFonts w:ascii="Museo Sans 300" w:hAnsi="Museo Sans 300"/>
                <w:sz w:val="22"/>
                <w:szCs w:val="22"/>
                <w:lang w:val="es-MX"/>
              </w:rPr>
              <w:t>equivalentes a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D52007" w:rsidRPr="00CD1FD1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361.8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millones; este resultado obedece a</w:t>
            </w:r>
            <w:r w:rsidR="00623B1D" w:rsidRPr="00CD1FD1">
              <w:rPr>
                <w:rFonts w:ascii="Museo Sans 300" w:hAnsi="Museo Sans 300"/>
                <w:sz w:val="22"/>
                <w:szCs w:val="22"/>
                <w:lang w:val="es-MX"/>
              </w:rPr>
              <w:t>l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2E1B9C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incremento de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</w:t>
            </w:r>
            <w:r w:rsidR="002E1B9C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corrientes en </w:t>
            </w:r>
            <w:r w:rsidR="003B736D" w:rsidRPr="00CD1FD1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358.6</w:t>
            </w:r>
            <w:r w:rsidR="003B736D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Como porcentaje del PIB los ingresos totales representaron un 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6.3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%, </w:t>
            </w:r>
            <w:r w:rsidR="00857FF8" w:rsidRPr="00CD1FD1">
              <w:rPr>
                <w:rFonts w:ascii="Museo Sans 300" w:hAnsi="Museo Sans 300"/>
                <w:sz w:val="22"/>
                <w:szCs w:val="22"/>
                <w:lang w:val="es-MX"/>
              </w:rPr>
              <w:t>m</w:t>
            </w:r>
            <w:r w:rsidR="00D34236" w:rsidRPr="00CD1FD1">
              <w:rPr>
                <w:rFonts w:ascii="Museo Sans 300" w:hAnsi="Museo Sans 300"/>
                <w:sz w:val="22"/>
                <w:szCs w:val="22"/>
                <w:lang w:val="es-MX"/>
              </w:rPr>
              <w:t>ayor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0.</w:t>
            </w:r>
            <w:r w:rsidR="00581B7E" w:rsidRPr="00CD1FD1">
              <w:rPr>
                <w:rFonts w:ascii="Museo Sans 300" w:hAnsi="Museo Sans 300"/>
                <w:sz w:val="22"/>
                <w:szCs w:val="22"/>
                <w:lang w:val="es-MX"/>
              </w:rPr>
              <w:t>9</w:t>
            </w:r>
            <w:r w:rsidR="00623B1D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respecto al mes de </w:t>
            </w:r>
            <w:r w:rsidR="00442690" w:rsidRPr="00CD1FD1">
              <w:rPr>
                <w:rFonts w:ascii="Museo Sans 300" w:hAnsi="Museo Sans 300"/>
                <w:sz w:val="22"/>
                <w:szCs w:val="22"/>
                <w:lang w:val="es-MX"/>
              </w:rPr>
              <w:t>marzo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del año anterior.</w:t>
            </w:r>
          </w:p>
          <w:p w:rsidR="00042C94" w:rsidRPr="00CD1FD1" w:rsidRDefault="00042C94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D540FA" w:rsidRPr="00CD1FD1" w:rsidRDefault="00D540FA" w:rsidP="00D55CD7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1: Evolución de los Ingresos Totales del SPNF </w:t>
            </w:r>
            <w:r w:rsidR="00F05512"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442690" w:rsidRPr="00CD1FD1">
              <w:rPr>
                <w:rFonts w:ascii="Museo Sans 300" w:hAnsi="Museo Sans 300"/>
                <w:sz w:val="22"/>
                <w:szCs w:val="22"/>
                <w:lang w:val="es-MX"/>
              </w:rPr>
              <w:t>marzo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</w:t>
            </w:r>
            <w:r w:rsidR="00F616D4" w:rsidRPr="00CD1FD1">
              <w:rPr>
                <w:rFonts w:ascii="Museo Sans 300" w:hAnsi="Museo Sans 300"/>
                <w:sz w:val="22"/>
                <w:szCs w:val="22"/>
                <w:lang w:val="es-MX"/>
              </w:rPr>
              <w:t>14</w:t>
            </w:r>
            <w:r w:rsidRPr="00CD1FD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</w:t>
            </w:r>
            <w:r w:rsidR="00F616D4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411F3D" w:rsidRPr="00CD1FD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</w:p>
          <w:p w:rsidR="00BF745F" w:rsidRPr="00CD1FD1" w:rsidRDefault="00BF745F" w:rsidP="00D55CD7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986C83" w:rsidRDefault="00BB3C83" w:rsidP="00BB3C83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BB3C83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>
                  <wp:extent cx="5198110" cy="3204210"/>
                  <wp:effectExtent l="0" t="0" r="254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8110" cy="32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C9A" w:rsidRPr="00ED3D89" w:rsidRDefault="00ED3D89" w:rsidP="00BB3C83">
            <w:pPr>
              <w:jc w:val="center"/>
              <w:rPr>
                <w:rFonts w:ascii="Museo Sans 300" w:hAnsi="Museo Sans 300"/>
                <w:b/>
                <w:sz w:val="18"/>
                <w:szCs w:val="18"/>
                <w:lang w:val="es-MX"/>
              </w:rPr>
            </w:pPr>
            <w:r w:rsidRPr="00ED3D89">
              <w:rPr>
                <w:rFonts w:ascii="Museo Sans 300" w:hAnsi="Museo Sans 300"/>
                <w:b/>
                <w:sz w:val="18"/>
                <w:szCs w:val="18"/>
                <w:lang w:val="es-MX"/>
              </w:rPr>
              <w:t>Fuente: Ministerio de Hacienda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CD1FD1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</w:tr>
    </w:tbl>
    <w:p w:rsidR="00BE54F5" w:rsidRPr="00CD1FD1" w:rsidRDefault="009B117C" w:rsidP="009B117C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14" w:name="_Toc411843461"/>
      <w:bookmarkStart w:id="15" w:name="_Toc56581205"/>
      <w:bookmarkStart w:id="16" w:name="_Toc72330645"/>
      <w:bookmarkStart w:id="17" w:name="_Toc308681662"/>
      <w:bookmarkStart w:id="18" w:name="_Toc319049208"/>
      <w:bookmarkStart w:id="19" w:name="_Toc388257453"/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1.1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Ingresos tributarios</w:t>
      </w:r>
      <w:bookmarkEnd w:id="14"/>
      <w:bookmarkEnd w:id="15"/>
      <w:r w:rsidR="00912173" w:rsidRPr="00CD1FD1">
        <w:rPr>
          <w:rFonts w:ascii="Museo Sans 300" w:hAnsi="Museo Sans 300"/>
          <w:b/>
          <w:sz w:val="22"/>
          <w:szCs w:val="22"/>
          <w:lang w:val="es-MX"/>
        </w:rPr>
        <w:t xml:space="preserve"> y Contribuciones Especiales</w:t>
      </w:r>
      <w:bookmarkEnd w:id="16"/>
    </w:p>
    <w:p w:rsidR="00BE54F5" w:rsidRPr="00CD1FD1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A145CB" w:rsidRPr="00CD1FD1" w:rsidRDefault="001C0639" w:rsidP="00A145CB">
      <w:pPr>
        <w:tabs>
          <w:tab w:val="left" w:pos="284"/>
        </w:tabs>
        <w:jc w:val="both"/>
        <w:rPr>
          <w:rFonts w:ascii="Museo Sans 300" w:hAnsi="Museo Sans 300" w:cs="Arial"/>
          <w:sz w:val="22"/>
          <w:szCs w:val="22"/>
          <w:lang w:val="es-SV"/>
        </w:rPr>
      </w:pPr>
      <w:r w:rsidRPr="00CD1FD1">
        <w:rPr>
          <w:rFonts w:ascii="Museo Sans 300" w:hAnsi="Museo Sans 300" w:cs="Arial"/>
          <w:sz w:val="22"/>
          <w:szCs w:val="22"/>
        </w:rPr>
        <w:t>La recaudación tributaria alcanzó un monto de $</w:t>
      </w:r>
      <w:r w:rsidR="002E1B9C" w:rsidRPr="00CD1FD1">
        <w:rPr>
          <w:rFonts w:ascii="Museo Sans 300" w:hAnsi="Museo Sans 300" w:cs="Arial"/>
          <w:sz w:val="22"/>
          <w:szCs w:val="22"/>
        </w:rPr>
        <w:t>1,</w:t>
      </w:r>
      <w:r w:rsidR="00581B7E" w:rsidRPr="00CD1FD1">
        <w:rPr>
          <w:rFonts w:ascii="Museo Sans 300" w:hAnsi="Museo Sans 300" w:cs="Arial"/>
          <w:sz w:val="22"/>
          <w:szCs w:val="22"/>
        </w:rPr>
        <w:t>634.8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sz w:val="22"/>
          <w:szCs w:val="22"/>
        </w:rPr>
        <w:t xml:space="preserve">millones, mostrando </w:t>
      </w:r>
      <w:r w:rsidRPr="00CD1FD1">
        <w:rPr>
          <w:rFonts w:ascii="Museo Sans 300" w:hAnsi="Museo Sans 300" w:cs="Arial"/>
          <w:sz w:val="22"/>
          <w:szCs w:val="22"/>
          <w:lang w:val="es-419"/>
        </w:rPr>
        <w:t>un</w:t>
      </w:r>
      <w:r w:rsidR="002E1B9C" w:rsidRPr="00CD1FD1">
        <w:rPr>
          <w:rFonts w:ascii="Museo Sans 300" w:hAnsi="Museo Sans 300" w:cs="Arial"/>
          <w:sz w:val="22"/>
          <w:szCs w:val="22"/>
          <w:lang w:val="es-419"/>
        </w:rPr>
        <w:t xml:space="preserve"> incr</w:t>
      </w:r>
      <w:r w:rsidR="00EE649A" w:rsidRPr="00CD1FD1">
        <w:rPr>
          <w:rFonts w:ascii="Museo Sans 300" w:hAnsi="Museo Sans 300" w:cs="Arial"/>
          <w:sz w:val="22"/>
          <w:szCs w:val="22"/>
          <w:lang w:val="es-419"/>
        </w:rPr>
        <w:t>e</w:t>
      </w:r>
      <w:r w:rsidR="002E1B9C" w:rsidRPr="00CD1FD1">
        <w:rPr>
          <w:rFonts w:ascii="Museo Sans 300" w:hAnsi="Museo Sans 300" w:cs="Arial"/>
          <w:sz w:val="22"/>
          <w:szCs w:val="22"/>
          <w:lang w:val="es-419"/>
        </w:rPr>
        <w:t>mento</w:t>
      </w:r>
      <w:r w:rsidR="00711779" w:rsidRPr="00CD1FD1">
        <w:rPr>
          <w:rFonts w:ascii="Museo Sans 300" w:hAnsi="Museo Sans 300" w:cs="Arial"/>
          <w:sz w:val="22"/>
          <w:szCs w:val="22"/>
        </w:rPr>
        <w:t xml:space="preserve"> </w:t>
      </w:r>
      <w:r w:rsidRPr="00CD1FD1">
        <w:rPr>
          <w:rFonts w:ascii="Museo Sans 300" w:hAnsi="Museo Sans 300" w:cs="Arial"/>
          <w:sz w:val="22"/>
          <w:szCs w:val="22"/>
        </w:rPr>
        <w:t xml:space="preserve">anual de </w:t>
      </w:r>
      <w:r w:rsidR="00581B7E" w:rsidRPr="00CD1FD1">
        <w:rPr>
          <w:rFonts w:ascii="Museo Sans 300" w:hAnsi="Museo Sans 300" w:cs="Arial"/>
          <w:sz w:val="22"/>
          <w:szCs w:val="22"/>
        </w:rPr>
        <w:t>25.1</w:t>
      </w:r>
      <w:r w:rsidRPr="00CD1FD1">
        <w:rPr>
          <w:rFonts w:ascii="Museo Sans 300" w:hAnsi="Museo Sans 300" w:cs="Arial"/>
          <w:sz w:val="22"/>
          <w:szCs w:val="22"/>
          <w:lang w:val="es-419"/>
        </w:rPr>
        <w:t>%</w:t>
      </w:r>
      <w:r w:rsidRPr="00CD1FD1">
        <w:rPr>
          <w:rFonts w:ascii="Museo Sans 300" w:hAnsi="Museo Sans 300" w:cs="Arial"/>
          <w:sz w:val="22"/>
          <w:szCs w:val="22"/>
        </w:rPr>
        <w:t>,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="00A145CB" w:rsidRPr="00CD1FD1">
        <w:rPr>
          <w:rFonts w:ascii="Museo Sans 300" w:hAnsi="Museo Sans 300" w:cs="Arial"/>
          <w:sz w:val="22"/>
          <w:szCs w:val="22"/>
          <w:lang w:val="es-419"/>
        </w:rPr>
        <w:t xml:space="preserve">equivalente a </w:t>
      </w:r>
      <w:r w:rsidRPr="00CD1FD1">
        <w:rPr>
          <w:rFonts w:ascii="Museo Sans 300" w:hAnsi="Museo Sans 300" w:cs="Arial"/>
          <w:sz w:val="22"/>
          <w:szCs w:val="22"/>
          <w:lang w:val="es-419"/>
        </w:rPr>
        <w:t>$</w:t>
      </w:r>
      <w:r w:rsidR="00581B7E" w:rsidRPr="00CD1FD1">
        <w:rPr>
          <w:rFonts w:ascii="Museo Sans 300" w:hAnsi="Museo Sans 300" w:cs="Arial"/>
          <w:sz w:val="22"/>
          <w:szCs w:val="22"/>
          <w:lang w:val="es-419"/>
        </w:rPr>
        <w:t>328.5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millones</w:t>
      </w:r>
      <w:r w:rsidR="00711779" w:rsidRPr="00CD1FD1">
        <w:rPr>
          <w:rFonts w:ascii="Museo Sans 300" w:hAnsi="Museo Sans 300" w:cs="Arial"/>
          <w:sz w:val="22"/>
          <w:szCs w:val="22"/>
          <w:lang w:val="es-419"/>
        </w:rPr>
        <w:t xml:space="preserve"> en comparación a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la cifra alcanzada en el </w:t>
      </w:r>
      <w:r w:rsidR="00EA68BB" w:rsidRPr="00CD1FD1">
        <w:rPr>
          <w:rFonts w:ascii="Museo Sans 300" w:hAnsi="Museo Sans 300" w:cs="Arial"/>
          <w:sz w:val="22"/>
          <w:szCs w:val="22"/>
          <w:lang w:val="es-SV"/>
        </w:rPr>
        <w:t xml:space="preserve">mismo período del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año </w:t>
      </w:r>
      <w:r w:rsidR="00581B7E" w:rsidRPr="00CD1FD1">
        <w:rPr>
          <w:rFonts w:ascii="Museo Sans 300" w:hAnsi="Museo Sans 300" w:cs="Arial"/>
          <w:sz w:val="22"/>
          <w:szCs w:val="22"/>
          <w:lang w:val="es-419"/>
        </w:rPr>
        <w:t>2021</w:t>
      </w:r>
      <w:r w:rsidRPr="00CD1FD1">
        <w:rPr>
          <w:rFonts w:ascii="Museo Sans 300" w:hAnsi="Museo Sans 300" w:cs="Arial"/>
          <w:sz w:val="22"/>
          <w:szCs w:val="22"/>
          <w:lang w:val="es-419"/>
        </w:rPr>
        <w:t>.</w:t>
      </w:r>
      <w:r w:rsidR="00A145CB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A145CB" w:rsidRPr="00CD1FD1">
        <w:rPr>
          <w:rFonts w:ascii="Museo Sans 300" w:hAnsi="Museo Sans 300" w:cs="Arial"/>
          <w:sz w:val="22"/>
          <w:szCs w:val="22"/>
          <w:lang w:val="es-SV"/>
        </w:rPr>
        <w:t xml:space="preserve">La carga Tributaria representa un </w:t>
      </w:r>
      <w:r w:rsidR="00581B7E" w:rsidRPr="00CD1FD1">
        <w:rPr>
          <w:rFonts w:ascii="Museo Sans 300" w:hAnsi="Museo Sans 300" w:cs="Arial"/>
          <w:sz w:val="22"/>
          <w:szCs w:val="22"/>
          <w:lang w:val="es-SV"/>
        </w:rPr>
        <w:t>5.4</w:t>
      </w:r>
      <w:r w:rsidR="00A145CB" w:rsidRPr="00CD1FD1">
        <w:rPr>
          <w:rFonts w:ascii="Museo Sans 300" w:hAnsi="Museo Sans 300" w:cs="Arial"/>
          <w:sz w:val="22"/>
          <w:szCs w:val="22"/>
          <w:lang w:val="es-SV"/>
        </w:rPr>
        <w:t xml:space="preserve">% con relación al PIB, siendo </w:t>
      </w:r>
      <w:r w:rsidR="00D34236" w:rsidRPr="00CD1FD1">
        <w:rPr>
          <w:rFonts w:ascii="Museo Sans 300" w:hAnsi="Museo Sans 300" w:cs="Arial"/>
          <w:sz w:val="22"/>
          <w:szCs w:val="22"/>
          <w:lang w:val="es-SV"/>
        </w:rPr>
        <w:t xml:space="preserve">mayor en </w:t>
      </w:r>
      <w:r w:rsidR="00694F2F" w:rsidRPr="00CD1FD1">
        <w:rPr>
          <w:rFonts w:ascii="Museo Sans 300" w:hAnsi="Museo Sans 300" w:cs="Arial"/>
          <w:sz w:val="22"/>
          <w:szCs w:val="22"/>
          <w:lang w:val="es-SV"/>
        </w:rPr>
        <w:t xml:space="preserve">0.9 puntos </w:t>
      </w:r>
      <w:r w:rsidR="00A145CB" w:rsidRPr="00CD1FD1">
        <w:rPr>
          <w:rFonts w:ascii="Museo Sans 300" w:hAnsi="Museo Sans 300" w:cs="Arial"/>
          <w:sz w:val="22"/>
          <w:szCs w:val="22"/>
          <w:lang w:val="es-SV"/>
        </w:rPr>
        <w:t xml:space="preserve">a la obtenida al mismo período del año anterior. </w:t>
      </w:r>
    </w:p>
    <w:p w:rsidR="00FE704C" w:rsidRPr="00CD1FD1" w:rsidRDefault="00FE704C" w:rsidP="00042C94">
      <w:pPr>
        <w:tabs>
          <w:tab w:val="left" w:pos="284"/>
        </w:tabs>
        <w:jc w:val="both"/>
        <w:rPr>
          <w:rFonts w:ascii="Museo Sans 300" w:hAnsi="Museo Sans 300" w:cs="Arial"/>
          <w:sz w:val="22"/>
          <w:szCs w:val="22"/>
          <w:lang w:val="es-SV"/>
        </w:rPr>
      </w:pPr>
    </w:p>
    <w:p w:rsidR="007E4F3D" w:rsidRPr="00CD1FD1" w:rsidRDefault="00AD3B3D" w:rsidP="007E4F3D">
      <w:pPr>
        <w:jc w:val="both"/>
        <w:rPr>
          <w:rFonts w:ascii="Museo Sans 300" w:hAnsi="Museo Sans 300" w:cs="Arial"/>
          <w:sz w:val="22"/>
          <w:szCs w:val="22"/>
          <w:lang w:val="es-419"/>
        </w:rPr>
      </w:pPr>
      <w:r w:rsidRPr="00CD1FD1">
        <w:rPr>
          <w:rFonts w:ascii="Museo Sans 300" w:hAnsi="Museo Sans 300" w:cs="Arial"/>
          <w:sz w:val="22"/>
          <w:szCs w:val="22"/>
          <w:lang w:val="es-419"/>
        </w:rPr>
        <w:t>De forma detallada</w:t>
      </w:r>
      <w:r w:rsidRPr="00CD1FD1">
        <w:rPr>
          <w:rFonts w:ascii="Museo Sans 300" w:hAnsi="Museo Sans 300" w:cs="Arial"/>
          <w:sz w:val="22"/>
          <w:szCs w:val="22"/>
        </w:rPr>
        <w:t xml:space="preserve">, la recaudación del Impuesto al Valor Agregado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alcanzó </w:t>
      </w:r>
      <w:r w:rsidRPr="00CD1FD1">
        <w:rPr>
          <w:rFonts w:ascii="Museo Sans 300" w:hAnsi="Museo Sans 300" w:cs="Arial"/>
          <w:sz w:val="22"/>
          <w:szCs w:val="22"/>
        </w:rPr>
        <w:t xml:space="preserve">un </w:t>
      </w:r>
      <w:r w:rsidR="00912173" w:rsidRPr="00CD1FD1">
        <w:rPr>
          <w:rFonts w:ascii="Museo Sans 300" w:hAnsi="Museo Sans 300" w:cs="Arial"/>
          <w:sz w:val="22"/>
          <w:szCs w:val="22"/>
        </w:rPr>
        <w:t>monto</w:t>
      </w:r>
      <w:r w:rsidRPr="00CD1FD1">
        <w:rPr>
          <w:rFonts w:ascii="Museo Sans 300" w:hAnsi="Museo Sans 300" w:cs="Arial"/>
          <w:sz w:val="22"/>
          <w:szCs w:val="22"/>
        </w:rPr>
        <w:t xml:space="preserve"> de $</w:t>
      </w:r>
      <w:r w:rsidR="00581B7E" w:rsidRPr="00CD1FD1">
        <w:rPr>
          <w:rFonts w:ascii="Museo Sans 300" w:hAnsi="Museo Sans 300" w:cs="Arial"/>
          <w:sz w:val="22"/>
          <w:szCs w:val="22"/>
        </w:rPr>
        <w:t>806.6</w:t>
      </w:r>
      <w:r w:rsidR="00042C94" w:rsidRPr="00CD1FD1">
        <w:rPr>
          <w:rFonts w:ascii="Museo Sans 300" w:hAnsi="Museo Sans 300" w:cs="Arial"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sz w:val="22"/>
          <w:szCs w:val="22"/>
        </w:rPr>
        <w:t xml:space="preserve">millones, </w:t>
      </w:r>
      <w:r w:rsidR="00EE649A" w:rsidRPr="00CD1FD1">
        <w:rPr>
          <w:rFonts w:ascii="Museo Sans 300" w:hAnsi="Museo Sans 300"/>
          <w:sz w:val="22"/>
          <w:szCs w:val="22"/>
          <w:lang w:val="es-MX"/>
        </w:rPr>
        <w:t xml:space="preserve">lo que representa un incremento de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20.3</w:t>
      </w:r>
      <w:r w:rsidR="00EE649A" w:rsidRPr="00CD1FD1">
        <w:rPr>
          <w:rFonts w:ascii="Museo Sans 300" w:hAnsi="Museo Sans 300"/>
          <w:sz w:val="22"/>
          <w:szCs w:val="22"/>
          <w:lang w:val="es-MX"/>
        </w:rPr>
        <w:t xml:space="preserve">% con respecto a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31628B" w:rsidRPr="00CD1FD1">
        <w:rPr>
          <w:rFonts w:ascii="Museo Sans 300" w:hAnsi="Museo Sans 300"/>
          <w:sz w:val="22"/>
          <w:szCs w:val="22"/>
          <w:lang w:val="es-MX"/>
        </w:rPr>
        <w:t>,</w:t>
      </w:r>
      <w:r w:rsidR="00EE649A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como </w:t>
      </w:r>
      <w:r w:rsidRPr="00CD1FD1">
        <w:rPr>
          <w:rFonts w:ascii="Museo Sans 300" w:hAnsi="Museo Sans 300" w:cs="Arial"/>
          <w:sz w:val="22"/>
          <w:szCs w:val="22"/>
          <w:lang w:val="es-419"/>
        </w:rPr>
        <w:t>resultado de</w:t>
      </w:r>
      <w:r w:rsidR="00EE649A" w:rsidRPr="00CD1FD1">
        <w:rPr>
          <w:rFonts w:ascii="Museo Sans 300" w:hAnsi="Museo Sans 300" w:cs="Arial"/>
          <w:i/>
          <w:sz w:val="22"/>
          <w:szCs w:val="22"/>
        </w:rPr>
        <w:t xml:space="preserve"> </w:t>
      </w:r>
      <w:r w:rsidR="00EE649A" w:rsidRPr="00CD1FD1">
        <w:rPr>
          <w:rFonts w:ascii="Museo Sans 300" w:hAnsi="Museo Sans 300" w:cs="Arial"/>
          <w:sz w:val="22"/>
          <w:szCs w:val="22"/>
          <w:lang w:val="es-419"/>
        </w:rPr>
        <w:t>variaciones positivas en sus componentes de la siguiente forma: IVA declaración de 7.</w:t>
      </w:r>
      <w:r w:rsidR="00581B7E" w:rsidRPr="00CD1FD1">
        <w:rPr>
          <w:rFonts w:ascii="Museo Sans 300" w:hAnsi="Museo Sans 300" w:cs="Arial"/>
          <w:sz w:val="22"/>
          <w:szCs w:val="22"/>
          <w:lang w:val="es-419"/>
        </w:rPr>
        <w:t>7</w:t>
      </w:r>
      <w:r w:rsidR="00EE649A" w:rsidRPr="00CD1FD1">
        <w:rPr>
          <w:rFonts w:ascii="Museo Sans 300" w:hAnsi="Museo Sans 300" w:cs="Arial"/>
          <w:sz w:val="22"/>
          <w:szCs w:val="22"/>
          <w:lang w:val="es-419"/>
        </w:rPr>
        <w:t xml:space="preserve">% y </w:t>
      </w:r>
      <w:r w:rsidR="00581B7E" w:rsidRPr="00CD1FD1">
        <w:rPr>
          <w:rFonts w:ascii="Museo Sans 300" w:hAnsi="Museo Sans 300" w:cs="Arial"/>
          <w:sz w:val="22"/>
          <w:szCs w:val="22"/>
          <w:lang w:val="es-419"/>
        </w:rPr>
        <w:t>31.9</w:t>
      </w:r>
      <w:r w:rsidR="00EE649A" w:rsidRPr="00CD1FD1">
        <w:rPr>
          <w:rFonts w:ascii="Museo Sans 300" w:hAnsi="Museo Sans 300" w:cs="Arial"/>
          <w:sz w:val="22"/>
          <w:szCs w:val="22"/>
          <w:lang w:val="es-419"/>
        </w:rPr>
        <w:t xml:space="preserve">% en IVA importación. Dentro de la composición de los Ingresos Tributarios, representó el </w:t>
      </w:r>
      <w:r w:rsidR="00AE321B" w:rsidRPr="00CD1FD1">
        <w:rPr>
          <w:rFonts w:ascii="Museo Sans 300" w:hAnsi="Museo Sans 300" w:cs="Arial"/>
          <w:sz w:val="22"/>
          <w:szCs w:val="22"/>
          <w:lang w:val="es-419"/>
        </w:rPr>
        <w:t>49.3</w:t>
      </w:r>
      <w:r w:rsidR="00EE649A" w:rsidRPr="00CD1FD1">
        <w:rPr>
          <w:rFonts w:ascii="Museo Sans 300" w:hAnsi="Museo Sans 300" w:cs="Arial"/>
          <w:sz w:val="22"/>
          <w:szCs w:val="22"/>
          <w:lang w:val="es-419"/>
        </w:rPr>
        <w:t>%.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</w:p>
    <w:p w:rsidR="00EE6B48" w:rsidRPr="00CD1FD1" w:rsidRDefault="00AD3B3D" w:rsidP="00EE6B48">
      <w:pPr>
        <w:jc w:val="both"/>
        <w:rPr>
          <w:rFonts w:ascii="Museo Sans 300" w:hAnsi="Museo Sans 300" w:cs="Arial"/>
          <w:sz w:val="22"/>
          <w:szCs w:val="22"/>
        </w:rPr>
      </w:pPr>
      <w:r w:rsidRPr="00CD1FD1">
        <w:rPr>
          <w:rFonts w:ascii="Museo Sans 300" w:hAnsi="Museo Sans 300" w:cs="Arial"/>
          <w:sz w:val="22"/>
          <w:szCs w:val="22"/>
        </w:rPr>
        <w:lastRenderedPageBreak/>
        <w:t xml:space="preserve">El Impuesto sobre la Renta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alcanzó un valor recaudado de </w:t>
      </w:r>
      <w:r w:rsidRPr="00CD1FD1">
        <w:rPr>
          <w:rFonts w:ascii="Museo Sans 300" w:hAnsi="Museo Sans 300" w:cs="Arial"/>
          <w:sz w:val="22"/>
          <w:szCs w:val="22"/>
        </w:rPr>
        <w:t>$</w:t>
      </w:r>
      <w:r w:rsidR="00AE321B" w:rsidRPr="00CD1FD1">
        <w:rPr>
          <w:rFonts w:ascii="Museo Sans 300" w:hAnsi="Museo Sans 300" w:cs="Arial"/>
          <w:sz w:val="22"/>
          <w:szCs w:val="22"/>
        </w:rPr>
        <w:t>629.8</w:t>
      </w:r>
      <w:r w:rsidRPr="00CD1FD1">
        <w:rPr>
          <w:rFonts w:ascii="Museo Sans 300" w:hAnsi="Museo Sans 300" w:cs="Arial"/>
          <w:sz w:val="22"/>
          <w:szCs w:val="22"/>
        </w:rPr>
        <w:t xml:space="preserve"> millones,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con un</w:t>
      </w:r>
      <w:r w:rsidR="00216005" w:rsidRPr="00CD1FD1">
        <w:rPr>
          <w:rFonts w:ascii="Museo Sans 300" w:hAnsi="Museo Sans 300" w:cs="Arial"/>
          <w:sz w:val="22"/>
          <w:szCs w:val="22"/>
          <w:lang w:val="es-419"/>
        </w:rPr>
        <w:t>a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="00007F40" w:rsidRPr="00CD1FD1">
        <w:rPr>
          <w:rFonts w:ascii="Museo Sans 300" w:hAnsi="Museo Sans 300" w:cs="Arial"/>
          <w:sz w:val="22"/>
          <w:szCs w:val="22"/>
          <w:lang w:val="es-419"/>
        </w:rPr>
        <w:t xml:space="preserve">variación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anual de </w:t>
      </w:r>
      <w:r w:rsidR="00AE321B" w:rsidRPr="00CD1FD1">
        <w:rPr>
          <w:rFonts w:ascii="Museo Sans 300" w:hAnsi="Museo Sans 300" w:cs="Arial"/>
          <w:sz w:val="22"/>
          <w:szCs w:val="22"/>
          <w:lang w:val="es-419"/>
        </w:rPr>
        <w:t>35.7</w:t>
      </w:r>
      <w:r w:rsidR="00A35DD3" w:rsidRPr="00CD1FD1">
        <w:rPr>
          <w:rFonts w:ascii="Museo Sans 300" w:hAnsi="Museo Sans 300"/>
          <w:sz w:val="22"/>
          <w:szCs w:val="22"/>
          <w:lang w:val="es-MX"/>
        </w:rPr>
        <w:t xml:space="preserve">%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equivalente a </w:t>
      </w:r>
      <w:r w:rsidRPr="00CD1FD1">
        <w:rPr>
          <w:rFonts w:ascii="Museo Sans 300" w:hAnsi="Museo Sans 300" w:cs="Arial"/>
          <w:sz w:val="22"/>
          <w:szCs w:val="22"/>
        </w:rPr>
        <w:t>$</w:t>
      </w:r>
      <w:r w:rsidR="00133419" w:rsidRPr="00CD1FD1">
        <w:rPr>
          <w:rFonts w:ascii="Museo Sans 300" w:hAnsi="Museo Sans 300" w:cs="Arial"/>
          <w:sz w:val="22"/>
          <w:szCs w:val="22"/>
        </w:rPr>
        <w:t>1</w:t>
      </w:r>
      <w:r w:rsidR="00AE321B" w:rsidRPr="00CD1FD1">
        <w:rPr>
          <w:rFonts w:ascii="Museo Sans 300" w:hAnsi="Museo Sans 300" w:cs="Arial"/>
          <w:sz w:val="22"/>
          <w:szCs w:val="22"/>
        </w:rPr>
        <w:t>65.8</w:t>
      </w:r>
      <w:r w:rsidRPr="00CD1FD1">
        <w:rPr>
          <w:rFonts w:ascii="Museo Sans 300" w:hAnsi="Museo Sans 300" w:cs="Arial"/>
          <w:sz w:val="22"/>
          <w:szCs w:val="22"/>
        </w:rPr>
        <w:t xml:space="preserve"> millones,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sz w:val="22"/>
          <w:szCs w:val="22"/>
          <w:lang w:val="es-SV"/>
        </w:rPr>
        <w:t>este resultado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responde a </w:t>
      </w:r>
      <w:r w:rsidR="00ED3D89">
        <w:rPr>
          <w:rFonts w:ascii="Museo Sans 300" w:hAnsi="Museo Sans 300" w:cs="Arial"/>
          <w:sz w:val="22"/>
          <w:szCs w:val="22"/>
          <w:lang w:val="es-419"/>
        </w:rPr>
        <w:t xml:space="preserve">aumentos 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porcentuales en </w:t>
      </w:r>
      <w:r w:rsidR="00ED067D" w:rsidRPr="00CD1FD1">
        <w:rPr>
          <w:rFonts w:ascii="Museo Sans 300" w:hAnsi="Museo Sans 300" w:cs="Arial"/>
          <w:sz w:val="22"/>
          <w:szCs w:val="22"/>
          <w:lang w:val="es-SV"/>
        </w:rPr>
        <w:t>los</w:t>
      </w:r>
      <w:r w:rsidR="00B84AC7" w:rsidRPr="00CD1FD1">
        <w:rPr>
          <w:rFonts w:ascii="Museo Sans 300" w:hAnsi="Museo Sans 300" w:cs="Arial"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sz w:val="22"/>
          <w:szCs w:val="22"/>
          <w:lang w:val="es-419"/>
        </w:rPr>
        <w:t>componentes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: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Retención de </w:t>
      </w:r>
      <w:r w:rsidR="00AE321B" w:rsidRPr="00CD1FD1">
        <w:rPr>
          <w:rFonts w:ascii="Museo Sans 300" w:hAnsi="Museo Sans 300" w:cs="Arial"/>
          <w:sz w:val="22"/>
          <w:szCs w:val="22"/>
          <w:lang w:val="es-419"/>
        </w:rPr>
        <w:t>28.4</w:t>
      </w:r>
      <w:r w:rsidRPr="00CD1FD1">
        <w:rPr>
          <w:rFonts w:ascii="Museo Sans 300" w:hAnsi="Museo Sans 300" w:cs="Arial"/>
          <w:sz w:val="22"/>
          <w:szCs w:val="22"/>
          <w:lang w:val="es-419"/>
        </w:rPr>
        <w:t>%</w:t>
      </w:r>
      <w:r w:rsidR="00804CE7" w:rsidRPr="00CD1FD1">
        <w:rPr>
          <w:rFonts w:ascii="Museo Sans 300" w:hAnsi="Museo Sans 300" w:cs="Arial"/>
          <w:sz w:val="22"/>
          <w:szCs w:val="22"/>
          <w:lang w:val="es-SV"/>
        </w:rPr>
        <w:t xml:space="preserve"> </w:t>
      </w:r>
      <w:r w:rsidR="00216005" w:rsidRPr="00CD1FD1">
        <w:rPr>
          <w:rFonts w:ascii="Museo Sans 300" w:hAnsi="Museo Sans 300" w:cs="Arial"/>
          <w:sz w:val="22"/>
          <w:szCs w:val="22"/>
          <w:lang w:val="es-SV"/>
        </w:rPr>
        <w:t xml:space="preserve">y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Pago a cuenta en </w:t>
      </w:r>
      <w:r w:rsidR="00AE321B" w:rsidRPr="00CD1FD1">
        <w:rPr>
          <w:rFonts w:ascii="Museo Sans 300" w:hAnsi="Museo Sans 300" w:cs="Arial"/>
          <w:sz w:val="22"/>
          <w:szCs w:val="22"/>
          <w:lang w:val="es-419"/>
        </w:rPr>
        <w:t>27.7</w:t>
      </w:r>
      <w:r w:rsidRPr="00CD1FD1">
        <w:rPr>
          <w:rFonts w:ascii="Museo Sans 300" w:hAnsi="Museo Sans 300" w:cs="Arial"/>
          <w:sz w:val="22"/>
          <w:szCs w:val="22"/>
          <w:lang w:val="es-419"/>
        </w:rPr>
        <w:t>%</w:t>
      </w:r>
      <w:r w:rsidR="00ED067D" w:rsidRPr="00CD1FD1">
        <w:rPr>
          <w:rFonts w:ascii="Museo Sans 300" w:hAnsi="Museo Sans 300" w:cs="Arial"/>
          <w:sz w:val="22"/>
          <w:szCs w:val="22"/>
          <w:lang w:val="es-419"/>
        </w:rPr>
        <w:t xml:space="preserve">; la declaración registró una variación positiva de </w:t>
      </w:r>
      <w:r w:rsidR="00AE321B" w:rsidRPr="00CD1FD1">
        <w:rPr>
          <w:rFonts w:ascii="Museo Sans 300" w:hAnsi="Museo Sans 300" w:cs="Arial"/>
          <w:sz w:val="22"/>
          <w:szCs w:val="22"/>
          <w:lang w:val="es-419"/>
        </w:rPr>
        <w:t>131.3</w:t>
      </w:r>
      <w:r w:rsidR="00ED067D" w:rsidRPr="00CD1FD1">
        <w:rPr>
          <w:rFonts w:ascii="Museo Sans 300" w:hAnsi="Museo Sans 300" w:cs="Arial"/>
          <w:sz w:val="22"/>
          <w:szCs w:val="22"/>
          <w:lang w:val="es-419"/>
        </w:rPr>
        <w:t>%</w:t>
      </w:r>
      <w:r w:rsidR="00BC1FEB" w:rsidRPr="00CD1FD1">
        <w:rPr>
          <w:rFonts w:ascii="Museo Sans 300" w:hAnsi="Museo Sans 300" w:cs="Arial"/>
          <w:sz w:val="22"/>
          <w:szCs w:val="22"/>
          <w:lang w:val="es-SV"/>
        </w:rPr>
        <w:t>.</w:t>
      </w:r>
      <w:r w:rsidR="00804CE7" w:rsidRPr="00CD1FD1">
        <w:rPr>
          <w:rFonts w:ascii="Museo Sans 300" w:hAnsi="Museo Sans 300" w:cs="Arial"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La 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participación </w:t>
      </w:r>
      <w:r w:rsidRPr="00CD1FD1">
        <w:rPr>
          <w:rFonts w:ascii="Museo Sans 300" w:hAnsi="Museo Sans 300" w:cs="Arial"/>
          <w:sz w:val="22"/>
          <w:szCs w:val="22"/>
        </w:rPr>
        <w:t>de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dicho impuesto </w:t>
      </w:r>
      <w:r w:rsidRPr="00CD1FD1">
        <w:rPr>
          <w:rFonts w:ascii="Museo Sans 300" w:hAnsi="Museo Sans 300" w:cs="Arial"/>
          <w:sz w:val="22"/>
          <w:szCs w:val="22"/>
        </w:rPr>
        <w:t xml:space="preserve">sobre el total de ingresos tributarios fue del </w:t>
      </w:r>
      <w:r w:rsidR="00133419" w:rsidRPr="00CD1FD1">
        <w:rPr>
          <w:rFonts w:ascii="Museo Sans 300" w:hAnsi="Museo Sans 300" w:cs="Arial"/>
          <w:sz w:val="22"/>
          <w:szCs w:val="22"/>
        </w:rPr>
        <w:t>3</w:t>
      </w:r>
      <w:r w:rsidR="00AE321B" w:rsidRPr="00CD1FD1">
        <w:rPr>
          <w:rFonts w:ascii="Museo Sans 300" w:hAnsi="Museo Sans 300" w:cs="Arial"/>
          <w:sz w:val="22"/>
          <w:szCs w:val="22"/>
        </w:rPr>
        <w:t>8.5</w:t>
      </w:r>
      <w:r w:rsidRPr="00CD1FD1">
        <w:rPr>
          <w:rFonts w:ascii="Museo Sans 300" w:hAnsi="Museo Sans 300" w:cs="Arial"/>
          <w:sz w:val="22"/>
          <w:szCs w:val="22"/>
        </w:rPr>
        <w:t>%</w:t>
      </w:r>
      <w:r w:rsidRPr="00CD1FD1">
        <w:rPr>
          <w:rFonts w:ascii="Museo Sans 300" w:hAnsi="Museo Sans 300" w:cs="Arial"/>
          <w:sz w:val="22"/>
          <w:szCs w:val="22"/>
          <w:lang w:val="es-419"/>
        </w:rPr>
        <w:t>.</w:t>
      </w:r>
      <w:r w:rsidRPr="00CD1FD1">
        <w:rPr>
          <w:rFonts w:ascii="Museo Sans 300" w:hAnsi="Museo Sans 300" w:cs="Arial"/>
          <w:sz w:val="22"/>
          <w:szCs w:val="22"/>
        </w:rPr>
        <w:t xml:space="preserve"> </w:t>
      </w:r>
    </w:p>
    <w:p w:rsidR="00A35DD3" w:rsidRPr="00CD1FD1" w:rsidRDefault="00A35DD3" w:rsidP="00EE6B48">
      <w:pPr>
        <w:jc w:val="both"/>
        <w:rPr>
          <w:rFonts w:ascii="Museo Sans 300" w:hAnsi="Museo Sans 300" w:cs="Arial"/>
          <w:i/>
          <w:sz w:val="22"/>
          <w:szCs w:val="22"/>
        </w:rPr>
      </w:pPr>
    </w:p>
    <w:p w:rsidR="00AD3B3D" w:rsidRPr="00CD1FD1" w:rsidRDefault="00EE649A" w:rsidP="00AD3B3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La recaudación por Derechos Arancelarios a la Importación de Bienes registró un total de $</w:t>
      </w:r>
      <w:r w:rsidR="00A7255A" w:rsidRPr="00CD1FD1">
        <w:rPr>
          <w:rFonts w:ascii="Museo Sans 300" w:hAnsi="Museo Sans 300"/>
          <w:sz w:val="22"/>
          <w:szCs w:val="22"/>
          <w:lang w:val="es-MX"/>
        </w:rPr>
        <w:t>78.0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un incremento de $1</w:t>
      </w:r>
      <w:r w:rsidR="00A7255A" w:rsidRPr="00CD1FD1">
        <w:rPr>
          <w:rFonts w:ascii="Museo Sans 300" w:hAnsi="Museo Sans 300"/>
          <w:sz w:val="22"/>
          <w:szCs w:val="22"/>
          <w:lang w:val="es-MX"/>
        </w:rPr>
        <w:t>5.4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con respecto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>a marzo 202</w:t>
      </w:r>
      <w:r w:rsidR="00694F2F" w:rsidRPr="00CD1FD1">
        <w:rPr>
          <w:rFonts w:ascii="Museo Sans 300" w:hAnsi="Museo Sans 300"/>
          <w:sz w:val="22"/>
          <w:szCs w:val="22"/>
          <w:lang w:val="es-MX"/>
        </w:rPr>
        <w:t>1</w:t>
      </w:r>
      <w:r w:rsidRPr="00CD1FD1">
        <w:rPr>
          <w:rFonts w:ascii="Museo Sans 300" w:hAnsi="Museo Sans 300"/>
          <w:sz w:val="22"/>
          <w:szCs w:val="22"/>
          <w:lang w:val="es-MX"/>
        </w:rPr>
        <w:t>, esta recuperación está asociada al incremento observado en las importaciones de bienes de 2</w:t>
      </w:r>
      <w:r w:rsidR="00694F2F" w:rsidRPr="00CD1FD1">
        <w:rPr>
          <w:rFonts w:ascii="Museo Sans 300" w:hAnsi="Museo Sans 300"/>
          <w:sz w:val="22"/>
          <w:szCs w:val="22"/>
          <w:lang w:val="es-MX"/>
        </w:rPr>
        <w:t>9</w:t>
      </w:r>
      <w:r w:rsidR="00A7255A" w:rsidRPr="00CD1FD1">
        <w:rPr>
          <w:rFonts w:ascii="Museo Sans 300" w:hAnsi="Museo Sans 300"/>
          <w:sz w:val="22"/>
          <w:szCs w:val="22"/>
          <w:lang w:val="es-MX"/>
        </w:rPr>
        <w:t>.6</w:t>
      </w:r>
      <w:r w:rsidRPr="00CD1FD1">
        <w:rPr>
          <w:rFonts w:ascii="Museo Sans 300" w:hAnsi="Museo Sans 300"/>
          <w:sz w:val="22"/>
          <w:szCs w:val="22"/>
          <w:lang w:val="es-MX"/>
        </w:rPr>
        <w:t>%</w:t>
      </w:r>
    </w:p>
    <w:p w:rsidR="00133419" w:rsidRPr="00CD1FD1" w:rsidRDefault="00133419" w:rsidP="00AD3B3D">
      <w:pPr>
        <w:jc w:val="both"/>
        <w:rPr>
          <w:rFonts w:ascii="Museo Sans 300" w:hAnsi="Museo Sans 300" w:cs="Arial"/>
          <w:sz w:val="22"/>
          <w:szCs w:val="22"/>
          <w:lang w:val="es-MX"/>
        </w:rPr>
      </w:pPr>
    </w:p>
    <w:p w:rsidR="00CB6C20" w:rsidRPr="00CD1FD1" w:rsidRDefault="00CB6C2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2: </w:t>
      </w:r>
      <w:r w:rsidRPr="00BB3C83">
        <w:rPr>
          <w:rFonts w:ascii="Museo Sans 300" w:hAnsi="Museo Sans 300"/>
          <w:sz w:val="22"/>
          <w:szCs w:val="22"/>
          <w:lang w:val="es-MX"/>
        </w:rPr>
        <w:t xml:space="preserve">Ingresos tributarios del SPNF </w:t>
      </w:r>
      <w:r w:rsidR="00F05512" w:rsidRPr="00BB3C83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442690" w:rsidRPr="00BB3C83">
        <w:rPr>
          <w:rFonts w:ascii="Museo Sans 300" w:hAnsi="Museo Sans 300"/>
          <w:sz w:val="22"/>
          <w:szCs w:val="22"/>
          <w:lang w:val="es-MX"/>
        </w:rPr>
        <w:t>marzo</w:t>
      </w:r>
      <w:r w:rsidRPr="00BB3C83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042C94" w:rsidRPr="00BB3C83">
        <w:rPr>
          <w:rFonts w:ascii="Museo Sans 300" w:hAnsi="Museo Sans 300"/>
          <w:sz w:val="22"/>
          <w:szCs w:val="22"/>
          <w:lang w:val="es-MX"/>
        </w:rPr>
        <w:t>14</w:t>
      </w:r>
      <w:r w:rsidRPr="00BB3C83">
        <w:rPr>
          <w:rFonts w:ascii="Museo Sans 300" w:hAnsi="Museo Sans 300"/>
          <w:sz w:val="22"/>
          <w:szCs w:val="22"/>
          <w:lang w:val="es-MX"/>
        </w:rPr>
        <w:t xml:space="preserve"> -</w:t>
      </w:r>
      <w:r w:rsidR="00042C94" w:rsidRPr="00BB3C83">
        <w:rPr>
          <w:rFonts w:ascii="Museo Sans 300" w:hAnsi="Museo Sans 300"/>
          <w:sz w:val="22"/>
          <w:szCs w:val="22"/>
          <w:lang w:val="es-MX"/>
        </w:rPr>
        <w:t>202</w:t>
      </w:r>
      <w:r w:rsidR="00411F3D" w:rsidRPr="00BB3C83">
        <w:rPr>
          <w:rFonts w:ascii="Museo Sans 300" w:hAnsi="Museo Sans 300"/>
          <w:sz w:val="22"/>
          <w:szCs w:val="22"/>
          <w:lang w:val="es-MX"/>
        </w:rPr>
        <w:t>2</w:t>
      </w:r>
    </w:p>
    <w:p w:rsidR="001E1C63" w:rsidRPr="00CD1FD1" w:rsidRDefault="001E1C63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C388F" w:rsidRPr="00CD1FD1" w:rsidRDefault="00ED3D89" w:rsidP="00FD18DF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ED3D89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ED3D89">
        <w:rPr>
          <w:noProof/>
        </w:rPr>
        <w:drawing>
          <wp:inline distT="0" distB="0" distL="0" distR="0">
            <wp:extent cx="4718125" cy="2827724"/>
            <wp:effectExtent l="0" t="0" r="635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665" cy="28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C6" w:rsidRPr="00CD1FD1" w:rsidRDefault="002F0FC6" w:rsidP="00AD3B3D">
      <w:pPr>
        <w:jc w:val="both"/>
        <w:rPr>
          <w:rFonts w:ascii="Museo Sans 300" w:hAnsi="Museo Sans 300" w:cs="Arial"/>
          <w:sz w:val="22"/>
          <w:szCs w:val="22"/>
          <w:lang w:val="es-419"/>
        </w:rPr>
      </w:pPr>
    </w:p>
    <w:p w:rsidR="00133419" w:rsidRPr="00CD1FD1" w:rsidRDefault="00133419" w:rsidP="00133419">
      <w:pPr>
        <w:jc w:val="both"/>
        <w:rPr>
          <w:rFonts w:ascii="Museo Sans 300" w:hAnsi="Museo Sans 300" w:cs="Arial"/>
          <w:sz w:val="22"/>
          <w:szCs w:val="22"/>
          <w:lang w:val="es-SV"/>
        </w:rPr>
      </w:pPr>
      <w:r w:rsidRPr="00CD1FD1">
        <w:rPr>
          <w:rFonts w:ascii="Museo Sans 300" w:hAnsi="Museo Sans 300" w:cs="Arial"/>
          <w:sz w:val="22"/>
          <w:szCs w:val="22"/>
          <w:lang w:val="es-SV"/>
        </w:rPr>
        <w:t>En cuanto a los Impuestos Específicos al Consumo de productos, registraron un valor de $5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9.1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 millones, lo que se traduce en un crecimiento de 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8.9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% en donde, la mayoría de los componentes experimentaron incrementos, con excepción del impuesto a 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productos alcohólicos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 que registró una reducción</w:t>
      </w:r>
      <w:r w:rsidR="00E83146" w:rsidRPr="00CD1FD1">
        <w:rPr>
          <w:rFonts w:ascii="Museo Sans 300" w:hAnsi="Museo Sans 300" w:cs="Arial"/>
          <w:sz w:val="22"/>
          <w:szCs w:val="22"/>
          <w:lang w:val="es-SV"/>
        </w:rPr>
        <w:t xml:space="preserve"> de 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53.4</w:t>
      </w:r>
      <w:r w:rsidR="00E83146" w:rsidRPr="00CD1FD1">
        <w:rPr>
          <w:rFonts w:ascii="Museo Sans 300" w:hAnsi="Museo Sans 300" w:cs="Arial"/>
          <w:sz w:val="22"/>
          <w:szCs w:val="22"/>
          <w:lang w:val="es-SV"/>
        </w:rPr>
        <w:t>%</w:t>
      </w:r>
      <w:r w:rsidRPr="00CD1FD1">
        <w:rPr>
          <w:rFonts w:ascii="Museo Sans 300" w:hAnsi="Museo Sans 300" w:cs="Arial"/>
          <w:sz w:val="22"/>
          <w:szCs w:val="22"/>
          <w:lang w:val="es-SV"/>
        </w:rPr>
        <w:t>.</w:t>
      </w:r>
    </w:p>
    <w:p w:rsidR="00133419" w:rsidRPr="00CD1FD1" w:rsidRDefault="00133419" w:rsidP="00AD3B3D">
      <w:pPr>
        <w:jc w:val="both"/>
        <w:rPr>
          <w:rFonts w:ascii="Museo Sans 300" w:hAnsi="Museo Sans 300" w:cs="Arial"/>
          <w:sz w:val="22"/>
          <w:szCs w:val="22"/>
          <w:lang w:val="es-SV"/>
        </w:rPr>
      </w:pPr>
    </w:p>
    <w:p w:rsidR="00133419" w:rsidRPr="00CD1FD1" w:rsidRDefault="00133419" w:rsidP="00133419">
      <w:pPr>
        <w:jc w:val="both"/>
        <w:rPr>
          <w:rFonts w:ascii="Museo Sans 300" w:hAnsi="Museo Sans 300" w:cs="Arial"/>
          <w:sz w:val="22"/>
          <w:szCs w:val="22"/>
          <w:lang w:val="es-SV"/>
        </w:rPr>
      </w:pPr>
      <w:r w:rsidRPr="00CD1FD1">
        <w:rPr>
          <w:rFonts w:ascii="Museo Sans 300" w:hAnsi="Museo Sans 300" w:cs="Arial"/>
          <w:sz w:val="22"/>
          <w:szCs w:val="22"/>
          <w:lang w:val="es-SV"/>
        </w:rPr>
        <w:t>Las Contribuciones Especiales alcanzaron un valor de $4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5.</w:t>
      </w:r>
      <w:r w:rsidR="00340B9B" w:rsidRPr="00CD1FD1">
        <w:rPr>
          <w:rFonts w:ascii="Museo Sans 300" w:hAnsi="Museo Sans 300" w:cs="Arial"/>
          <w:sz w:val="22"/>
          <w:szCs w:val="22"/>
          <w:lang w:val="es-SV"/>
        </w:rPr>
        <w:t>2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 millones, experimentando un 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aumento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 de 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7.5</w:t>
      </w:r>
      <w:r w:rsidRPr="00CD1FD1">
        <w:rPr>
          <w:rFonts w:ascii="Museo Sans 300" w:hAnsi="Museo Sans 300" w:cs="Arial"/>
          <w:sz w:val="22"/>
          <w:szCs w:val="22"/>
          <w:lang w:val="es-SV"/>
        </w:rPr>
        <w:t>%, ocasionado por</w:t>
      </w:r>
      <w:r w:rsidR="0064377F" w:rsidRPr="00CD1FD1">
        <w:rPr>
          <w:rFonts w:ascii="Museo Sans 300" w:hAnsi="Museo Sans 300" w:cs="Arial"/>
          <w:sz w:val="22"/>
          <w:szCs w:val="22"/>
          <w:lang w:val="es-SV"/>
        </w:rPr>
        <w:t xml:space="preserve"> un aumento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 en todos sus componentes con respecto </w:t>
      </w:r>
      <w:r w:rsidR="00355D4B" w:rsidRPr="00CD1FD1">
        <w:rPr>
          <w:rFonts w:ascii="Museo Sans 300" w:hAnsi="Museo Sans 300" w:cs="Arial"/>
          <w:sz w:val="22"/>
          <w:szCs w:val="22"/>
          <w:lang w:val="es-SV"/>
        </w:rPr>
        <w:t>a marzo 2022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, </w:t>
      </w:r>
      <w:r w:rsidR="00F07D5E" w:rsidRPr="00CD1FD1">
        <w:rPr>
          <w:rFonts w:ascii="Museo Sans 300" w:hAnsi="Museo Sans 300" w:cs="Arial"/>
          <w:sz w:val="22"/>
          <w:szCs w:val="22"/>
          <w:lang w:val="es-SV"/>
        </w:rPr>
        <w:t>a excepción a la de seguridad pública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, </w:t>
      </w:r>
      <w:r w:rsidR="00E83146" w:rsidRPr="00CD1FD1">
        <w:rPr>
          <w:rFonts w:ascii="Museo Sans 300" w:hAnsi="Museo Sans 300" w:cs="Arial"/>
          <w:sz w:val="22"/>
          <w:szCs w:val="22"/>
          <w:lang w:val="es-SV"/>
        </w:rPr>
        <w:t>asociada a</w:t>
      </w:r>
      <w:r w:rsidRPr="00CD1FD1">
        <w:rPr>
          <w:rFonts w:ascii="Museo Sans 300" w:hAnsi="Museo Sans 300" w:cs="Arial"/>
          <w:sz w:val="22"/>
          <w:szCs w:val="22"/>
          <w:lang w:val="es-SV"/>
        </w:rPr>
        <w:t xml:space="preserve"> la terminación de su vigencia.</w:t>
      </w:r>
    </w:p>
    <w:p w:rsidR="00133419" w:rsidRPr="00CD1FD1" w:rsidRDefault="00133419" w:rsidP="000D3F00">
      <w:pPr>
        <w:jc w:val="both"/>
        <w:rPr>
          <w:rFonts w:ascii="Museo Sans 300" w:hAnsi="Museo Sans 300" w:cs="Arial"/>
          <w:sz w:val="22"/>
          <w:szCs w:val="22"/>
          <w:lang w:val="es-SV"/>
        </w:rPr>
      </w:pPr>
    </w:p>
    <w:p w:rsidR="00BF745F" w:rsidRPr="00CD1FD1" w:rsidRDefault="00BF745F" w:rsidP="00BF745F">
      <w:pPr>
        <w:jc w:val="both"/>
        <w:rPr>
          <w:rFonts w:ascii="Museo Sans 300" w:hAnsi="Museo Sans 300" w:cs="Arial"/>
          <w:sz w:val="22"/>
          <w:szCs w:val="22"/>
        </w:rPr>
      </w:pPr>
      <w:r w:rsidRPr="00CD1FD1">
        <w:rPr>
          <w:rFonts w:ascii="Museo Sans 300" w:hAnsi="Museo Sans 300" w:cs="Arial"/>
          <w:sz w:val="22"/>
          <w:szCs w:val="22"/>
        </w:rPr>
        <w:t xml:space="preserve">En el rubro </w:t>
      </w:r>
      <w:r w:rsidR="00420EE2" w:rsidRPr="00CD1FD1">
        <w:rPr>
          <w:rFonts w:ascii="Museo Sans 300" w:hAnsi="Museo Sans 300" w:cs="Arial"/>
          <w:sz w:val="22"/>
          <w:szCs w:val="22"/>
        </w:rPr>
        <w:t>O</w:t>
      </w:r>
      <w:r w:rsidRPr="00CD1FD1">
        <w:rPr>
          <w:rFonts w:ascii="Museo Sans 300" w:hAnsi="Museo Sans 300" w:cs="Arial"/>
          <w:sz w:val="22"/>
          <w:szCs w:val="22"/>
        </w:rPr>
        <w:t xml:space="preserve">tros, </w:t>
      </w:r>
      <w:r w:rsidR="0041785E" w:rsidRPr="00CD1FD1">
        <w:rPr>
          <w:rFonts w:ascii="Museo Sans 300" w:hAnsi="Museo Sans 300" w:cs="Arial"/>
          <w:sz w:val="22"/>
          <w:szCs w:val="22"/>
        </w:rPr>
        <w:t>compuesto principalmente por transferencia</w:t>
      </w:r>
      <w:r w:rsidR="00530B1E" w:rsidRPr="00CD1FD1">
        <w:rPr>
          <w:rFonts w:ascii="Museo Sans 300" w:hAnsi="Museo Sans 300" w:cs="Arial"/>
          <w:sz w:val="22"/>
          <w:szCs w:val="22"/>
        </w:rPr>
        <w:t>s</w:t>
      </w:r>
      <w:r w:rsidR="0041785E" w:rsidRPr="00CD1FD1">
        <w:rPr>
          <w:rFonts w:ascii="Museo Sans 300" w:hAnsi="Museo Sans 300" w:cs="Arial"/>
          <w:sz w:val="22"/>
          <w:szCs w:val="22"/>
        </w:rPr>
        <w:t xml:space="preserve"> de propiedades y el impuesto especial 1ª. Matricula, </w:t>
      </w:r>
      <w:r w:rsidRPr="00CD1FD1">
        <w:rPr>
          <w:rFonts w:ascii="Museo Sans 300" w:hAnsi="Museo Sans 300" w:cs="Arial"/>
          <w:sz w:val="22"/>
          <w:szCs w:val="22"/>
        </w:rPr>
        <w:t>la recaudación ascendió a $</w:t>
      </w:r>
      <w:r w:rsidR="00101DFA" w:rsidRPr="00CD1FD1">
        <w:rPr>
          <w:rFonts w:ascii="Museo Sans 300" w:hAnsi="Museo Sans 300" w:cs="Arial"/>
          <w:sz w:val="22"/>
          <w:szCs w:val="22"/>
        </w:rPr>
        <w:t>1</w:t>
      </w:r>
      <w:r w:rsidR="00F07D5E" w:rsidRPr="00CD1FD1">
        <w:rPr>
          <w:rFonts w:ascii="Museo Sans 300" w:hAnsi="Museo Sans 300" w:cs="Arial"/>
          <w:sz w:val="22"/>
          <w:szCs w:val="22"/>
        </w:rPr>
        <w:t>6.1</w:t>
      </w:r>
      <w:r w:rsidR="00E82404" w:rsidRPr="00CD1FD1">
        <w:rPr>
          <w:rFonts w:ascii="Museo Sans 300" w:hAnsi="Museo Sans 300" w:cs="Arial"/>
          <w:sz w:val="22"/>
          <w:szCs w:val="22"/>
        </w:rPr>
        <w:t xml:space="preserve"> </w:t>
      </w:r>
      <w:r w:rsidRPr="00CD1FD1">
        <w:rPr>
          <w:rFonts w:ascii="Museo Sans 300" w:hAnsi="Museo Sans 300" w:cs="Arial"/>
          <w:sz w:val="22"/>
          <w:szCs w:val="22"/>
        </w:rPr>
        <w:t xml:space="preserve">millones 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con un </w:t>
      </w:r>
      <w:r w:rsidR="00101DFA" w:rsidRPr="00CD1FD1">
        <w:rPr>
          <w:rFonts w:ascii="Museo Sans 300" w:hAnsi="Museo Sans 300" w:cs="Arial"/>
          <w:sz w:val="22"/>
          <w:szCs w:val="22"/>
          <w:lang w:val="es-419"/>
        </w:rPr>
        <w:t>c</w:t>
      </w:r>
      <w:r w:rsidRPr="00CD1FD1">
        <w:rPr>
          <w:rFonts w:ascii="Museo Sans 300" w:hAnsi="Museo Sans 300" w:cs="Arial"/>
          <w:sz w:val="22"/>
          <w:szCs w:val="22"/>
          <w:lang w:val="es-419"/>
        </w:rPr>
        <w:t>recimiento de</w:t>
      </w:r>
      <w:r w:rsidRPr="00CD1FD1">
        <w:rPr>
          <w:rFonts w:ascii="Museo Sans 300" w:hAnsi="Museo Sans 300" w:cs="Arial"/>
          <w:sz w:val="22"/>
          <w:szCs w:val="22"/>
          <w:lang w:val="es-SV"/>
        </w:rPr>
        <w:t>l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="00F07D5E" w:rsidRPr="00CD1FD1">
        <w:rPr>
          <w:rFonts w:ascii="Museo Sans 300" w:hAnsi="Museo Sans 300" w:cs="Arial"/>
          <w:sz w:val="22"/>
          <w:szCs w:val="22"/>
          <w:lang w:val="es-419"/>
        </w:rPr>
        <w:t>26.6</w:t>
      </w:r>
      <w:r w:rsidRPr="00CD1FD1">
        <w:rPr>
          <w:rFonts w:ascii="Museo Sans 300" w:hAnsi="Museo Sans 300" w:cs="Arial"/>
          <w:sz w:val="22"/>
          <w:szCs w:val="22"/>
          <w:lang w:val="es-SV"/>
        </w:rPr>
        <w:t>%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con respecto al resultado obtenido en </w:t>
      </w:r>
      <w:r w:rsidR="00442690" w:rsidRPr="00CD1FD1">
        <w:rPr>
          <w:rFonts w:ascii="Museo Sans 300" w:hAnsi="Museo Sans 300" w:cs="Arial"/>
          <w:sz w:val="22"/>
          <w:szCs w:val="22"/>
          <w:lang w:val="es-419"/>
        </w:rPr>
        <w:t>marzo</w:t>
      </w:r>
      <w:r w:rsidRPr="00CD1FD1">
        <w:rPr>
          <w:rFonts w:ascii="Museo Sans 300" w:hAnsi="Museo Sans 300" w:cs="Arial"/>
          <w:sz w:val="22"/>
          <w:szCs w:val="22"/>
          <w:lang w:val="es-419"/>
        </w:rPr>
        <w:t xml:space="preserve"> </w:t>
      </w:r>
      <w:r w:rsidR="00581B7E" w:rsidRPr="00CD1FD1">
        <w:rPr>
          <w:rFonts w:ascii="Museo Sans 300" w:hAnsi="Museo Sans 300" w:cs="Arial"/>
          <w:sz w:val="22"/>
          <w:szCs w:val="22"/>
        </w:rPr>
        <w:t>2021</w:t>
      </w:r>
      <w:r w:rsidR="00137776" w:rsidRPr="00CD1FD1">
        <w:rPr>
          <w:rFonts w:ascii="Museo Sans 300" w:hAnsi="Museo Sans 300" w:cs="Arial"/>
          <w:sz w:val="22"/>
          <w:szCs w:val="22"/>
        </w:rPr>
        <w:t>.</w:t>
      </w:r>
    </w:p>
    <w:p w:rsidR="00BF745F" w:rsidRPr="00CD1FD1" w:rsidRDefault="00BF745F" w:rsidP="00CB6C20">
      <w:pPr>
        <w:jc w:val="center"/>
        <w:rPr>
          <w:rFonts w:ascii="Museo Sans 300" w:hAnsi="Museo Sans 300"/>
          <w:sz w:val="22"/>
          <w:szCs w:val="22"/>
        </w:rPr>
      </w:pPr>
    </w:p>
    <w:p w:rsidR="00411F3D" w:rsidRPr="00CD1FD1" w:rsidRDefault="00411F3D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11F3D" w:rsidRDefault="00411F3D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BB3C83" w:rsidRPr="00CD1FD1" w:rsidRDefault="00BB3C83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11F3D" w:rsidRDefault="00411F3D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593A7A" w:rsidRPr="00CD1FD1" w:rsidRDefault="00593A7A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CB6C20" w:rsidRPr="00CD1FD1" w:rsidRDefault="00CB6C20" w:rsidP="00CB6C2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>Gráfico 3: Ingresos tributarios del SPNF por fuente</w:t>
      </w:r>
      <w:r w:rsidR="000B1B60" w:rsidRPr="00CD1FD1">
        <w:rPr>
          <w:rFonts w:ascii="Museo Sans 300" w:hAnsi="Museo Sans 300"/>
          <w:sz w:val="22"/>
          <w:szCs w:val="22"/>
          <w:lang w:val="es-MX"/>
        </w:rPr>
        <w:t>s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05512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="001C00F7" w:rsidRPr="00CD1FD1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563EE7" w:rsidRPr="00CD1FD1">
        <w:rPr>
          <w:rFonts w:ascii="Museo Sans 300" w:hAnsi="Museo Sans 300"/>
          <w:sz w:val="22"/>
          <w:szCs w:val="22"/>
          <w:lang w:val="es-MX"/>
        </w:rPr>
        <w:t>1</w:t>
      </w:r>
      <w:r w:rsidR="00E218E0" w:rsidRPr="00CD1FD1">
        <w:rPr>
          <w:rFonts w:ascii="Museo Sans 300" w:hAnsi="Museo Sans 300"/>
          <w:sz w:val="22"/>
          <w:szCs w:val="22"/>
          <w:lang w:val="es-MX"/>
        </w:rPr>
        <w:t>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202</w:t>
      </w:r>
      <w:r w:rsidR="00411F3D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7A6BC6" w:rsidRPr="00ED3D89" w:rsidRDefault="007A6BC6" w:rsidP="00CB6C20">
      <w:pPr>
        <w:jc w:val="center"/>
        <w:rPr>
          <w:rFonts w:ascii="Museo Sans 300" w:hAnsi="Museo Sans 300"/>
          <w:sz w:val="12"/>
          <w:szCs w:val="12"/>
          <w:lang w:val="es-MX"/>
        </w:rPr>
      </w:pPr>
    </w:p>
    <w:p w:rsidR="001E1C63" w:rsidRDefault="00411F3D" w:rsidP="00CB6C20">
      <w:pPr>
        <w:jc w:val="center"/>
        <w:rPr>
          <w:rFonts w:ascii="Museo Sans 300" w:hAnsi="Museo Sans 300"/>
          <w:sz w:val="22"/>
          <w:szCs w:val="22"/>
          <w:lang w:val="es-SV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>
            <wp:extent cx="4541264" cy="3111061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197" cy="313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14" w:rsidRPr="00ED3D89" w:rsidRDefault="00ED3D89" w:rsidP="001E1C63">
      <w:pPr>
        <w:jc w:val="center"/>
        <w:rPr>
          <w:rFonts w:ascii="Museo Sans 300" w:hAnsi="Museo Sans 300"/>
          <w:b/>
          <w:sz w:val="16"/>
          <w:szCs w:val="16"/>
          <w:lang w:val="es-SV"/>
        </w:rPr>
      </w:pPr>
      <w:r w:rsidRPr="00ED3D89">
        <w:rPr>
          <w:rFonts w:ascii="Museo Sans 300" w:hAnsi="Museo Sans 300"/>
          <w:b/>
          <w:sz w:val="16"/>
          <w:szCs w:val="16"/>
          <w:lang w:val="es-SV"/>
        </w:rPr>
        <w:t xml:space="preserve">Fuente: Ministerio de Hacienda </w:t>
      </w:r>
    </w:p>
    <w:p w:rsidR="00ED3D89" w:rsidRPr="00ED3D89" w:rsidRDefault="00ED3D89" w:rsidP="001E1C63">
      <w:pPr>
        <w:jc w:val="center"/>
        <w:rPr>
          <w:rFonts w:ascii="Museo Sans 300" w:hAnsi="Museo Sans 300"/>
          <w:sz w:val="12"/>
          <w:szCs w:val="12"/>
          <w:lang w:val="es-MX"/>
        </w:rPr>
      </w:pPr>
    </w:p>
    <w:p w:rsidR="00790662" w:rsidRPr="00CD1FD1" w:rsidRDefault="00790662" w:rsidP="00790662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En la siguiente tabla se muestra el comportamiento de los ingresos tributarios, tanto en millones de dólares, como en porcentaje que representa respecto al total y su composición por rubro para formar la carga tributaria.</w:t>
      </w:r>
    </w:p>
    <w:p w:rsidR="00BD2BF4" w:rsidRPr="00ED3D89" w:rsidRDefault="00BD2BF4" w:rsidP="00790662">
      <w:pPr>
        <w:jc w:val="both"/>
        <w:rPr>
          <w:rFonts w:ascii="Museo Sans 300" w:hAnsi="Museo Sans 300"/>
          <w:sz w:val="12"/>
          <w:szCs w:val="12"/>
          <w:lang w:val="es-MX"/>
        </w:rPr>
      </w:pPr>
    </w:p>
    <w:p w:rsidR="00BE54F5" w:rsidRPr="00CD1FD1" w:rsidRDefault="00BB3C83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>T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abla No. </w:t>
      </w:r>
      <w:r w:rsidR="009A14E6" w:rsidRPr="00CD1FD1">
        <w:rPr>
          <w:rFonts w:ascii="Museo Sans 300" w:hAnsi="Museo Sans 300"/>
          <w:sz w:val="22"/>
          <w:szCs w:val="22"/>
          <w:lang w:val="es-MX"/>
        </w:rPr>
        <w:t>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Estructura de Ingresos Tributarios </w:t>
      </w:r>
      <w:r w:rsidR="00532FE5" w:rsidRPr="00CD1FD1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="00532FE5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20</w:t>
      </w:r>
      <w:r w:rsidR="00A80A13" w:rsidRPr="00CD1FD1">
        <w:rPr>
          <w:rFonts w:ascii="Museo Sans 300" w:hAnsi="Museo Sans 300"/>
          <w:sz w:val="22"/>
          <w:szCs w:val="22"/>
          <w:lang w:val="es-MX"/>
        </w:rPr>
        <w:t>1</w:t>
      </w:r>
      <w:r w:rsidR="00E218E0" w:rsidRPr="00CD1FD1">
        <w:rPr>
          <w:rFonts w:ascii="Museo Sans 300" w:hAnsi="Museo Sans 300"/>
          <w:sz w:val="22"/>
          <w:szCs w:val="22"/>
          <w:lang w:val="es-MX"/>
        </w:rPr>
        <w:t>4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- 20</w:t>
      </w:r>
      <w:r w:rsidR="00E218E0" w:rsidRPr="00CD1FD1">
        <w:rPr>
          <w:rFonts w:ascii="Museo Sans 300" w:hAnsi="Museo Sans 300"/>
          <w:sz w:val="22"/>
          <w:szCs w:val="22"/>
          <w:lang w:val="es-MX"/>
        </w:rPr>
        <w:t>2</w:t>
      </w:r>
      <w:r w:rsidR="00411F3D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BE54F5" w:rsidRPr="00CD1FD1" w:rsidRDefault="00BE54F5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(Millones de $, como % del total de ingresos y % del PIB)</w:t>
      </w:r>
      <w:r w:rsidR="00871062" w:rsidRPr="00CD1FD1">
        <w:rPr>
          <w:rFonts w:ascii="Museo Sans 300" w:hAnsi="Museo Sans 300"/>
          <w:sz w:val="22"/>
          <w:szCs w:val="22"/>
          <w:lang w:val="es-MX"/>
        </w:rPr>
        <w:t>.</w:t>
      </w:r>
    </w:p>
    <w:p w:rsidR="00F6695E" w:rsidRPr="00CD1FD1" w:rsidRDefault="00F6695E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A49A6" w:rsidRDefault="00D7198F" w:rsidP="00C337C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>
            <wp:extent cx="5048410" cy="35529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937" cy="371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89" w:rsidRPr="00ED3D89" w:rsidRDefault="00897D3C" w:rsidP="00ED3D89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  <w:r w:rsidRPr="00ED3D89">
        <w:rPr>
          <w:rFonts w:ascii="Museo Sans 300" w:hAnsi="Museo Sans 300"/>
          <w:b/>
          <w:sz w:val="16"/>
          <w:szCs w:val="16"/>
          <w:lang w:val="es-MX"/>
        </w:rPr>
        <w:t xml:space="preserve">Fuente: </w:t>
      </w:r>
      <w:r w:rsidR="00ED3D89" w:rsidRPr="00ED3D89">
        <w:rPr>
          <w:rFonts w:ascii="Museo Sans 300" w:hAnsi="Museo Sans 300"/>
          <w:b/>
          <w:sz w:val="16"/>
          <w:szCs w:val="16"/>
          <w:lang w:val="es-MX"/>
        </w:rPr>
        <w:t>Ministerio de Hacienda</w:t>
      </w:r>
      <w:bookmarkStart w:id="20" w:name="_Toc509301814"/>
      <w:bookmarkStart w:id="21" w:name="_Toc308681664"/>
      <w:bookmarkStart w:id="22" w:name="_Toc319049210"/>
      <w:bookmarkStart w:id="23" w:name="_Toc411843462"/>
    </w:p>
    <w:p w:rsidR="00773139" w:rsidRPr="00CD1FD1" w:rsidRDefault="00773139" w:rsidP="00ED3D89">
      <w:pPr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>Recaudación Tributaria</w:t>
      </w:r>
      <w:r w:rsidR="00BD2BF4" w:rsidRPr="00CD1FD1">
        <w:rPr>
          <w:rFonts w:ascii="Museo Sans 300" w:hAnsi="Museo Sans 300"/>
          <w:b/>
          <w:sz w:val="22"/>
          <w:szCs w:val="22"/>
          <w:lang w:val="es-MX"/>
        </w:rPr>
        <w:t xml:space="preserve"> incluyendo contribuciones especiales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comparada con lo Presupuestado.</w:t>
      </w:r>
      <w:bookmarkEnd w:id="20"/>
    </w:p>
    <w:p w:rsidR="00773139" w:rsidRPr="00CD1FD1" w:rsidRDefault="00773139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3199D" w:rsidRPr="00CD1FD1" w:rsidRDefault="00773139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De acuerdo con las cifras de la DGT, la recaudación tributaria al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primer trimestre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D551BE" w:rsidRPr="00CD1FD1">
        <w:rPr>
          <w:rFonts w:ascii="Museo Sans 300" w:hAnsi="Museo Sans 300"/>
          <w:sz w:val="22"/>
          <w:szCs w:val="22"/>
          <w:lang w:val="es-MX"/>
        </w:rPr>
        <w:t xml:space="preserve">del </w:t>
      </w:r>
      <w:r w:rsidR="007D5077" w:rsidRPr="00CD1FD1">
        <w:rPr>
          <w:rFonts w:ascii="Museo Sans 300" w:hAnsi="Museo Sans 300"/>
          <w:sz w:val="22"/>
          <w:szCs w:val="22"/>
          <w:lang w:val="es-MX"/>
        </w:rPr>
        <w:t>año</w:t>
      </w:r>
      <w:r w:rsidR="006854A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20</w:t>
      </w:r>
      <w:r w:rsidR="00D551BE" w:rsidRPr="00CD1FD1">
        <w:rPr>
          <w:rFonts w:ascii="Museo Sans 300" w:hAnsi="Museo Sans 300"/>
          <w:sz w:val="22"/>
          <w:szCs w:val="22"/>
          <w:lang w:val="es-MX"/>
        </w:rPr>
        <w:t>2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al compararse con la cifra del presupuesto votado, </w:t>
      </w:r>
      <w:r w:rsidR="007D5077" w:rsidRPr="00CD1FD1">
        <w:rPr>
          <w:rFonts w:ascii="Museo Sans 300" w:hAnsi="Museo Sans 300"/>
          <w:sz w:val="22"/>
          <w:szCs w:val="22"/>
          <w:lang w:val="es-MX"/>
        </w:rPr>
        <w:t xml:space="preserve">muestra </w:t>
      </w:r>
      <w:r w:rsidR="002F1C96" w:rsidRPr="00CD1FD1">
        <w:rPr>
          <w:rFonts w:ascii="Museo Sans 300" w:hAnsi="Museo Sans 300"/>
          <w:sz w:val="22"/>
          <w:szCs w:val="22"/>
          <w:lang w:val="es-MX"/>
        </w:rPr>
        <w:t>que,</w:t>
      </w:r>
      <w:r w:rsidR="007D5077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350F6" w:rsidRPr="00CD1FD1">
        <w:rPr>
          <w:rFonts w:ascii="Museo Sans 300" w:hAnsi="Museo Sans 300"/>
          <w:sz w:val="22"/>
          <w:szCs w:val="22"/>
          <w:lang w:val="es-MX"/>
        </w:rPr>
        <w:t>con respecto a</w:t>
      </w:r>
      <w:r w:rsidR="007D5077" w:rsidRPr="00CD1FD1">
        <w:rPr>
          <w:rFonts w:ascii="Museo Sans 300" w:hAnsi="Museo Sans 300"/>
          <w:sz w:val="22"/>
          <w:szCs w:val="22"/>
          <w:lang w:val="es-MX"/>
        </w:rPr>
        <w:t xml:space="preserve"> la meta presupuestaria, </w:t>
      </w:r>
      <w:r w:rsidR="00BD2BF4" w:rsidRPr="00CD1FD1">
        <w:rPr>
          <w:rFonts w:ascii="Museo Sans 300" w:hAnsi="Museo Sans 300"/>
          <w:sz w:val="22"/>
          <w:szCs w:val="22"/>
          <w:lang w:val="es-MX"/>
        </w:rPr>
        <w:t xml:space="preserve">la recaudación </w:t>
      </w:r>
      <w:r w:rsidR="00AE22E1" w:rsidRPr="00CD1FD1">
        <w:rPr>
          <w:rFonts w:ascii="Museo Sans 300" w:hAnsi="Museo Sans 300"/>
          <w:sz w:val="22"/>
          <w:szCs w:val="22"/>
          <w:lang w:val="es-MX"/>
        </w:rPr>
        <w:t xml:space="preserve">fue superior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13.4</w:t>
      </w:r>
      <w:r w:rsidRPr="00CD1FD1">
        <w:rPr>
          <w:rFonts w:ascii="Museo Sans 300" w:hAnsi="Museo Sans 300"/>
          <w:sz w:val="22"/>
          <w:szCs w:val="22"/>
          <w:lang w:val="es-MX"/>
        </w:rPr>
        <w:t>% (US$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193.2</w:t>
      </w:r>
      <w:r w:rsidR="001A49A6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millones)</w:t>
      </w:r>
      <w:r w:rsidR="00F93983" w:rsidRPr="00CD1FD1">
        <w:rPr>
          <w:rFonts w:ascii="Museo Sans 300" w:hAnsi="Museo Sans 300"/>
          <w:sz w:val="22"/>
          <w:szCs w:val="22"/>
          <w:lang w:val="es-MX"/>
        </w:rPr>
        <w:t xml:space="preserve">, </w:t>
      </w:r>
      <w:r w:rsidRPr="00CD1FD1">
        <w:rPr>
          <w:rFonts w:ascii="Museo Sans 300" w:hAnsi="Museo Sans 300"/>
          <w:sz w:val="22"/>
          <w:szCs w:val="22"/>
          <w:lang w:val="es-MX"/>
        </w:rPr>
        <w:t>tal como se muestra en la siguiente tabla.</w:t>
      </w:r>
    </w:p>
    <w:p w:rsidR="00E41D5E" w:rsidRPr="00CD1FD1" w:rsidRDefault="00E41D5E" w:rsidP="00773139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4457B" w:rsidRPr="00CD1FD1" w:rsidRDefault="00871062" w:rsidP="00871062">
      <w:pPr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  <w:r w:rsidRPr="00CD1FD1">
        <w:rPr>
          <w:rFonts w:ascii="Museo Sans 300" w:hAnsi="Museo Sans 300" w:cs="Arial"/>
          <w:b/>
          <w:sz w:val="22"/>
          <w:szCs w:val="22"/>
          <w:lang w:val="es-MX"/>
        </w:rPr>
        <w:t>Tab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>la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>: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ED3D89">
        <w:rPr>
          <w:rFonts w:ascii="Museo Sans 300" w:hAnsi="Museo Sans 300" w:cs="Arial"/>
          <w:b/>
          <w:sz w:val="22"/>
          <w:szCs w:val="22"/>
          <w:lang w:val="es-MX"/>
        </w:rPr>
        <w:t>I</w:t>
      </w:r>
      <w:r w:rsidR="00DF7DE2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ngresos corrientes </w:t>
      </w:r>
      <w:r w:rsidR="00613FF3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del Gobierno Central 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al </w:t>
      </w:r>
      <w:r w:rsidR="00D249B2" w:rsidRPr="00CD1FD1">
        <w:rPr>
          <w:rFonts w:ascii="Museo Sans 300" w:hAnsi="Museo Sans 300" w:cs="Arial"/>
          <w:b/>
          <w:sz w:val="22"/>
          <w:szCs w:val="22"/>
          <w:lang w:val="es-MX"/>
        </w:rPr>
        <w:t>primer trimestre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>de 202</w:t>
      </w:r>
      <w:r w:rsidR="00D249B2" w:rsidRPr="00CD1FD1">
        <w:rPr>
          <w:rFonts w:ascii="Museo Sans 300" w:hAnsi="Museo Sans 300" w:cs="Arial"/>
          <w:b/>
          <w:sz w:val="22"/>
          <w:szCs w:val="22"/>
          <w:lang w:val="es-MX"/>
        </w:rPr>
        <w:t>1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, vrs ejecutado </w:t>
      </w:r>
      <w:r w:rsidR="00581B7E" w:rsidRPr="00CD1FD1">
        <w:rPr>
          <w:rFonts w:ascii="Museo Sans 300" w:hAnsi="Museo Sans 300" w:cs="Arial"/>
          <w:b/>
          <w:sz w:val="22"/>
          <w:szCs w:val="22"/>
          <w:lang w:val="es-MX"/>
        </w:rPr>
        <w:t>2021</w:t>
      </w:r>
      <w:r w:rsidR="0044457B" w:rsidRPr="00CD1FD1">
        <w:rPr>
          <w:rFonts w:ascii="Museo Sans 300" w:hAnsi="Museo Sans 300" w:cs="Arial"/>
          <w:b/>
          <w:sz w:val="22"/>
          <w:szCs w:val="22"/>
          <w:lang w:val="es-MX"/>
        </w:rPr>
        <w:t xml:space="preserve"> y presupuesto 202</w:t>
      </w:r>
      <w:r w:rsidR="00D249B2" w:rsidRPr="00CD1FD1">
        <w:rPr>
          <w:rFonts w:ascii="Museo Sans 300" w:hAnsi="Museo Sans 300" w:cs="Arial"/>
          <w:b/>
          <w:sz w:val="22"/>
          <w:szCs w:val="22"/>
          <w:lang w:val="es-MX"/>
        </w:rPr>
        <w:t>1</w:t>
      </w:r>
      <w:r w:rsidRPr="00CD1FD1">
        <w:rPr>
          <w:rFonts w:ascii="Museo Sans 300" w:hAnsi="Museo Sans 300" w:cs="Arial"/>
          <w:b/>
          <w:sz w:val="22"/>
          <w:szCs w:val="22"/>
          <w:lang w:val="es-MX"/>
        </w:rPr>
        <w:t>.</w:t>
      </w:r>
    </w:p>
    <w:p w:rsidR="0044457B" w:rsidRPr="00CD1FD1" w:rsidRDefault="0044457B" w:rsidP="0044457B">
      <w:pPr>
        <w:jc w:val="center"/>
        <w:rPr>
          <w:rFonts w:ascii="Museo Sans 300" w:hAnsi="Museo Sans 300" w:cs="Arial"/>
          <w:b/>
          <w:bCs/>
          <w:sz w:val="22"/>
          <w:szCs w:val="22"/>
          <w:lang w:val="es-SV" w:eastAsia="es-SV"/>
        </w:rPr>
      </w:pPr>
      <w:r w:rsidRPr="00CD1FD1">
        <w:rPr>
          <w:rFonts w:ascii="Museo Sans 300" w:hAnsi="Museo Sans 300" w:cs="Arial"/>
          <w:b/>
          <w:bCs/>
          <w:sz w:val="22"/>
          <w:szCs w:val="22"/>
          <w:lang w:val="es-SV" w:eastAsia="es-SV"/>
        </w:rPr>
        <w:t>(Montos en Millones de US$)</w:t>
      </w:r>
    </w:p>
    <w:p w:rsidR="00231F0C" w:rsidRPr="00CD1FD1" w:rsidRDefault="00231F0C" w:rsidP="0044457B">
      <w:pPr>
        <w:jc w:val="center"/>
        <w:rPr>
          <w:rFonts w:ascii="Museo Sans 300" w:hAnsi="Museo Sans 300" w:cs="Arial"/>
          <w:b/>
          <w:bCs/>
          <w:sz w:val="22"/>
          <w:szCs w:val="22"/>
          <w:lang w:val="es-SV" w:eastAsia="es-SV"/>
        </w:rPr>
      </w:pPr>
    </w:p>
    <w:p w:rsidR="0044457B" w:rsidRPr="00CD1FD1" w:rsidRDefault="0049611D" w:rsidP="0000636C">
      <w:pPr>
        <w:jc w:val="center"/>
        <w:rPr>
          <w:rFonts w:ascii="Museo Sans 300" w:hAnsi="Museo Sans 300"/>
          <w:sz w:val="22"/>
          <w:szCs w:val="22"/>
          <w:lang w:val="es-SV"/>
        </w:rPr>
      </w:pPr>
      <w:r w:rsidRPr="0049611D">
        <w:rPr>
          <w:noProof/>
        </w:rPr>
        <w:drawing>
          <wp:inline distT="0" distB="0" distL="0" distR="0">
            <wp:extent cx="5971540" cy="590263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90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D89" w:rsidRDefault="00ED3D89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bookmarkStart w:id="24" w:name="_Toc56581207"/>
      <w:bookmarkStart w:id="25" w:name="_Toc72330646"/>
    </w:p>
    <w:p w:rsidR="00BE54F5" w:rsidRPr="00CD1FD1" w:rsidRDefault="009B117C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1.2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Ingresos no </w:t>
      </w:r>
      <w:r w:rsidR="006007E8" w:rsidRPr="00CD1FD1">
        <w:rPr>
          <w:rFonts w:ascii="Museo Sans 300" w:hAnsi="Museo Sans 300"/>
          <w:b/>
          <w:sz w:val="22"/>
          <w:szCs w:val="22"/>
          <w:lang w:val="es-MX"/>
        </w:rPr>
        <w:t>T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ributarios</w:t>
      </w:r>
      <w:bookmarkEnd w:id="21"/>
      <w:bookmarkEnd w:id="22"/>
      <w:bookmarkEnd w:id="23"/>
      <w:bookmarkEnd w:id="24"/>
      <w:bookmarkEnd w:id="25"/>
    </w:p>
    <w:p w:rsidR="00BE54F5" w:rsidRPr="00CD1FD1" w:rsidRDefault="00BE54F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1098" w:rsidRPr="00CD1FD1" w:rsidRDefault="00BE1098" w:rsidP="00BE1098">
      <w:pPr>
        <w:tabs>
          <w:tab w:val="left" w:pos="0"/>
          <w:tab w:val="left" w:pos="9214"/>
        </w:tabs>
        <w:autoSpaceDE w:val="0"/>
        <w:autoSpaceDN w:val="0"/>
        <w:adjustRightInd w:val="0"/>
        <w:spacing w:after="140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En l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os ingresos no tributarios a nivel de SPNF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se obtuvo un monto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de $</w:t>
      </w:r>
      <w:r w:rsidR="005D11BE" w:rsidRPr="00CD1FD1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="00F07D5E" w:rsidRPr="00CD1FD1">
        <w:rPr>
          <w:rFonts w:ascii="Museo Sans 300" w:hAnsi="Museo Sans 300" w:cs="Arial"/>
          <w:iCs/>
          <w:sz w:val="22"/>
          <w:szCs w:val="22"/>
          <w:lang w:val="es-MX"/>
        </w:rPr>
        <w:t>61.2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millones,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valor que ha </w:t>
      </w:r>
      <w:r w:rsidR="00F07D5E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aumentado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términos absoluto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s </w:t>
      </w:r>
      <w:r w:rsidR="004A5630" w:rsidRPr="00CD1FD1">
        <w:rPr>
          <w:rFonts w:ascii="Museo Sans 300" w:hAnsi="Museo Sans 300" w:cs="Arial"/>
          <w:iCs/>
          <w:sz w:val="22"/>
          <w:szCs w:val="22"/>
          <w:lang w:val="es-419"/>
        </w:rPr>
        <w:t>en $</w:t>
      </w:r>
      <w:r w:rsidR="00F07D5E" w:rsidRPr="00CD1FD1">
        <w:rPr>
          <w:rFonts w:ascii="Museo Sans 300" w:hAnsi="Museo Sans 300" w:cs="Arial"/>
          <w:iCs/>
          <w:sz w:val="22"/>
          <w:szCs w:val="22"/>
          <w:lang w:val="es-419"/>
        </w:rPr>
        <w:t>29.2</w:t>
      </w:r>
      <w:r w:rsidR="004A5630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4A5630" w:rsidRPr="00CD1FD1">
        <w:rPr>
          <w:rFonts w:ascii="Museo Sans 300" w:hAnsi="Museo Sans 300" w:cs="Arial"/>
          <w:iCs/>
          <w:sz w:val="22"/>
          <w:szCs w:val="22"/>
          <w:lang w:val="es-MX"/>
        </w:rPr>
        <w:t>millones</w:t>
      </w:r>
      <w:r w:rsidR="004A5630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con respecto </w:t>
      </w:r>
      <w:r w:rsidR="00355D4B" w:rsidRPr="00CD1FD1">
        <w:rPr>
          <w:rFonts w:ascii="Museo Sans 300" w:hAnsi="Museo Sans 300" w:cs="Arial"/>
          <w:iCs/>
          <w:sz w:val="22"/>
          <w:szCs w:val="22"/>
          <w:lang w:val="es-419"/>
        </w:rPr>
        <w:t>a marzo 202</w:t>
      </w:r>
      <w:r w:rsidR="00BD2BF4" w:rsidRPr="00CD1FD1">
        <w:rPr>
          <w:rFonts w:ascii="Museo Sans 300" w:hAnsi="Museo Sans 300" w:cs="Arial"/>
          <w:iCs/>
          <w:sz w:val="22"/>
          <w:szCs w:val="22"/>
          <w:lang w:val="es-419"/>
        </w:rPr>
        <w:t>1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,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como resultado de </w:t>
      </w:r>
      <w:r w:rsidR="005D11BE" w:rsidRPr="00CD1FD1">
        <w:rPr>
          <w:rFonts w:ascii="Museo Sans 300" w:hAnsi="Museo Sans 300" w:cs="Arial"/>
          <w:iCs/>
          <w:sz w:val="22"/>
          <w:szCs w:val="22"/>
          <w:lang w:val="es-419"/>
        </w:rPr>
        <w:t>la reducción</w:t>
      </w:r>
      <w:r w:rsidR="002053D6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en </w:t>
      </w:r>
      <w:r w:rsidR="005D11BE" w:rsidRPr="00CD1FD1">
        <w:rPr>
          <w:rFonts w:ascii="Museo Sans 300" w:hAnsi="Museo Sans 300" w:cs="Arial"/>
          <w:iCs/>
          <w:sz w:val="22"/>
          <w:szCs w:val="22"/>
          <w:lang w:val="es-419"/>
        </w:rPr>
        <w:t>e</w:t>
      </w:r>
      <w:r w:rsidR="004C7832" w:rsidRPr="00CD1FD1">
        <w:rPr>
          <w:rFonts w:ascii="Museo Sans 300" w:hAnsi="Museo Sans 300" w:cs="Arial"/>
          <w:iCs/>
          <w:sz w:val="22"/>
          <w:szCs w:val="22"/>
          <w:lang w:val="es-SV"/>
        </w:rPr>
        <w:t>l subsector</w:t>
      </w:r>
      <w:r w:rsidR="00EF40E3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de</w:t>
      </w:r>
      <w:r w:rsidR="00C2656E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Gobierno Central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por </w:t>
      </w:r>
      <w:r w:rsidR="00F07D5E" w:rsidRPr="00CD1FD1">
        <w:rPr>
          <w:rFonts w:ascii="Museo Sans 300" w:hAnsi="Museo Sans 300" w:cs="Arial"/>
          <w:iCs/>
          <w:sz w:val="22"/>
          <w:szCs w:val="22"/>
          <w:lang w:val="es-419"/>
        </w:rPr>
        <w:t>-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$</w:t>
      </w:r>
      <w:r w:rsidR="00F07D5E" w:rsidRPr="00CD1FD1">
        <w:rPr>
          <w:rFonts w:ascii="Museo Sans 300" w:hAnsi="Museo Sans 300" w:cs="Arial"/>
          <w:iCs/>
          <w:sz w:val="22"/>
          <w:szCs w:val="22"/>
          <w:lang w:val="es-419"/>
        </w:rPr>
        <w:t>1.0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D85ECE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y aumentos en el R</w:t>
      </w:r>
      <w:r w:rsidR="00926BCC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esto del </w:t>
      </w:r>
      <w:r w:rsidR="00D85ECE" w:rsidRPr="00CD1FD1">
        <w:rPr>
          <w:rFonts w:ascii="Museo Sans 300" w:hAnsi="Museo Sans 300" w:cs="Arial"/>
          <w:iCs/>
          <w:sz w:val="22"/>
          <w:szCs w:val="22"/>
          <w:lang w:val="es-419"/>
        </w:rPr>
        <w:t>G</w:t>
      </w:r>
      <w:r w:rsidR="00926BCC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obierno </w:t>
      </w:r>
      <w:r w:rsidR="00D85ECE" w:rsidRPr="00CD1FD1">
        <w:rPr>
          <w:rFonts w:ascii="Museo Sans 300" w:hAnsi="Museo Sans 300" w:cs="Arial"/>
          <w:iCs/>
          <w:sz w:val="22"/>
          <w:szCs w:val="22"/>
          <w:lang w:val="es-419"/>
        </w:rPr>
        <w:t>G</w:t>
      </w:r>
      <w:r w:rsidR="00926BCC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eneral </w:t>
      </w:r>
      <w:r w:rsidR="00D85ECE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y Empresas Públicas de </w:t>
      </w:r>
      <w:r w:rsidR="00926BCC" w:rsidRPr="00CD1FD1">
        <w:rPr>
          <w:rFonts w:ascii="Museo Sans 300" w:hAnsi="Museo Sans 300" w:cs="Arial"/>
          <w:iCs/>
          <w:sz w:val="22"/>
          <w:szCs w:val="22"/>
          <w:lang w:val="es-419"/>
        </w:rPr>
        <w:t>$19.8 millones y $10.4 millones</w:t>
      </w:r>
      <w:r w:rsidR="00D85ECE" w:rsidRPr="00CD1FD1">
        <w:rPr>
          <w:rFonts w:ascii="Museo Sans 300" w:hAnsi="Museo Sans 300" w:cs="Arial"/>
          <w:iCs/>
          <w:sz w:val="22"/>
          <w:szCs w:val="22"/>
          <w:lang w:val="es-419"/>
        </w:rPr>
        <w:t>, respectivamente.</w:t>
      </w:r>
    </w:p>
    <w:bookmarkEnd w:id="17"/>
    <w:bookmarkEnd w:id="18"/>
    <w:bookmarkEnd w:id="19"/>
    <w:p w:rsidR="00085376" w:rsidRPr="00CD1FD1" w:rsidRDefault="00085376" w:rsidP="00085376">
      <w:pPr>
        <w:rPr>
          <w:rFonts w:ascii="Museo Sans 300" w:hAnsi="Museo Sans 300"/>
          <w:sz w:val="22"/>
          <w:szCs w:val="22"/>
          <w:lang w:val="es-MX"/>
        </w:rPr>
      </w:pPr>
    </w:p>
    <w:p w:rsidR="00BE54F5" w:rsidRPr="00CD1FD1" w:rsidRDefault="00442DE5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26" w:name="_Toc56581208"/>
      <w:bookmarkStart w:id="27" w:name="_Toc72330647"/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1.3 </w:t>
      </w:r>
      <w:r w:rsidR="0033442F" w:rsidRPr="00CD1FD1">
        <w:rPr>
          <w:rFonts w:ascii="Museo Sans 300" w:hAnsi="Museo Sans 300"/>
          <w:b/>
          <w:sz w:val="22"/>
          <w:szCs w:val="22"/>
          <w:lang w:val="es-MX"/>
        </w:rPr>
        <w:t>Superávit de l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as Empresas Públicas </w:t>
      </w:r>
      <w:r w:rsidR="00F71F6D" w:rsidRPr="00CD1FD1">
        <w:rPr>
          <w:rFonts w:ascii="Museo Sans 300" w:hAnsi="Museo Sans 300"/>
          <w:b/>
          <w:sz w:val="22"/>
          <w:szCs w:val="22"/>
          <w:lang w:val="es-MX"/>
        </w:rPr>
        <w:t>N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o Financieras</w:t>
      </w:r>
      <w:bookmarkEnd w:id="26"/>
      <w:bookmarkEnd w:id="27"/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:rsidR="00BE54F5" w:rsidRPr="00CD1FD1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33421" w:rsidRPr="00CD1FD1" w:rsidRDefault="00233051" w:rsidP="00533421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  <w:bookmarkStart w:id="28" w:name="_Toc308681665"/>
      <w:bookmarkStart w:id="29" w:name="_Toc319049211"/>
      <w:bookmarkStart w:id="30" w:name="_Toc411843463"/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>Por otra parte las Empresas Públicas No Financieras presentan un superavit de operación de $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20.3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millones, observándose 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un leve incr</w:t>
      </w:r>
      <w:r w:rsidR="0033442F" w:rsidRPr="00CD1FD1">
        <w:rPr>
          <w:rFonts w:ascii="Museo Sans 300" w:hAnsi="Museo Sans 300" w:cs="Arial"/>
          <w:noProof/>
          <w:sz w:val="22"/>
          <w:szCs w:val="22"/>
          <w:lang w:val="es-SV"/>
        </w:rPr>
        <w:t>e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mento de $0.9 millones 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respecto </w:t>
      </w:r>
      <w:r w:rsidR="00355D4B" w:rsidRPr="00CD1FD1">
        <w:rPr>
          <w:rFonts w:ascii="Museo Sans 300" w:hAnsi="Museo Sans 300" w:cs="Arial"/>
          <w:noProof/>
          <w:sz w:val="22"/>
          <w:szCs w:val="22"/>
          <w:lang w:val="es-SV"/>
        </w:rPr>
        <w:t>a marzo 202</w:t>
      </w:r>
      <w:r w:rsidR="0033442F" w:rsidRPr="00CD1FD1">
        <w:rPr>
          <w:rFonts w:ascii="Museo Sans 300" w:hAnsi="Museo Sans 300" w:cs="Arial"/>
          <w:noProof/>
          <w:sz w:val="22"/>
          <w:szCs w:val="22"/>
          <w:lang w:val="es-SV"/>
        </w:rPr>
        <w:t>1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, </w:t>
      </w:r>
      <w:r w:rsidR="00533421" w:rsidRPr="00CD1FD1">
        <w:rPr>
          <w:rFonts w:ascii="Museo Sans 300" w:hAnsi="Museo Sans 300" w:cs="Arial"/>
          <w:i/>
          <w:noProof/>
          <w:sz w:val="22"/>
          <w:szCs w:val="22"/>
        </w:rPr>
        <w:t xml:space="preserve"> </w:t>
      </w:r>
      <w:r w:rsidR="00533421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el resultado proviene </w:t>
      </w:r>
      <w:r w:rsidR="0033442F" w:rsidRPr="00CD1FD1">
        <w:rPr>
          <w:rFonts w:ascii="Museo Sans 300" w:hAnsi="Museo Sans 300" w:cs="Arial"/>
          <w:noProof/>
          <w:sz w:val="22"/>
          <w:szCs w:val="22"/>
          <w:lang w:val="es-SV"/>
        </w:rPr>
        <w:t>de</w:t>
      </w:r>
      <w:r w:rsidR="00533421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una reducción levemente mayor de los gastos de operación con respecto al incremento de los ingresos de operación. </w:t>
      </w:r>
    </w:p>
    <w:p w:rsidR="00533421" w:rsidRPr="00CD1FD1" w:rsidRDefault="00533421" w:rsidP="00533421">
      <w:pPr>
        <w:ind w:right="-32"/>
        <w:jc w:val="both"/>
        <w:rPr>
          <w:rFonts w:ascii="Museo Sans 300" w:hAnsi="Museo Sans 300" w:cs="Arial"/>
          <w:i/>
          <w:iCs/>
          <w:sz w:val="22"/>
          <w:szCs w:val="22"/>
          <w:lang w:val="es-MX"/>
        </w:rPr>
      </w:pPr>
    </w:p>
    <w:p w:rsidR="00533421" w:rsidRPr="00CD1FD1" w:rsidRDefault="00533421" w:rsidP="00233051">
      <w:pPr>
        <w:ind w:right="-32"/>
        <w:jc w:val="both"/>
        <w:rPr>
          <w:rFonts w:ascii="Museo Sans 300" w:hAnsi="Museo Sans 300" w:cs="Arial"/>
          <w:noProof/>
          <w:sz w:val="22"/>
          <w:szCs w:val="22"/>
          <w:highlight w:val="yellow"/>
          <w:lang w:val="es-SV"/>
        </w:rPr>
      </w:pPr>
    </w:p>
    <w:p w:rsidR="00BE54F5" w:rsidRPr="00CD1FD1" w:rsidRDefault="00BF745F" w:rsidP="009B117C">
      <w:pPr>
        <w:pStyle w:val="Heading2"/>
        <w:rPr>
          <w:rFonts w:ascii="Museo Sans 300" w:hAnsi="Museo Sans 300"/>
          <w:b/>
          <w:sz w:val="22"/>
          <w:szCs w:val="22"/>
          <w:lang w:val="es-MX"/>
        </w:rPr>
      </w:pPr>
      <w:bookmarkStart w:id="31" w:name="_Toc56581209"/>
      <w:bookmarkStart w:id="32" w:name="_Toc72330648"/>
      <w:r w:rsidRPr="00CD1FD1">
        <w:rPr>
          <w:rFonts w:ascii="Museo Sans 300" w:hAnsi="Museo Sans 300"/>
          <w:b/>
          <w:sz w:val="22"/>
          <w:szCs w:val="22"/>
          <w:lang w:val="es-MX"/>
        </w:rPr>
        <w:t>1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.4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Donaciones</w:t>
      </w:r>
      <w:bookmarkEnd w:id="28"/>
      <w:bookmarkEnd w:id="29"/>
      <w:bookmarkEnd w:id="30"/>
      <w:bookmarkEnd w:id="31"/>
      <w:bookmarkEnd w:id="32"/>
    </w:p>
    <w:p w:rsidR="00BE54F5" w:rsidRPr="00CD1FD1" w:rsidRDefault="00BE54F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33051" w:rsidRPr="00CD1FD1" w:rsidRDefault="00233051" w:rsidP="00233051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  <w:bookmarkStart w:id="33" w:name="_Toc411843464"/>
      <w:bookmarkStart w:id="34" w:name="_Toc505951456"/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Finalmente, las donaciones registraron un total de </w:t>
      </w:r>
      <w:r w:rsidR="00290D10" w:rsidRPr="00CD1FD1">
        <w:rPr>
          <w:rFonts w:ascii="Museo Sans 300" w:hAnsi="Museo Sans 300" w:cs="Arial"/>
          <w:noProof/>
          <w:sz w:val="22"/>
          <w:szCs w:val="22"/>
          <w:lang w:val="es-SV"/>
        </w:rPr>
        <w:t>$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4.5</w:t>
      </w:r>
      <w:r w:rsidR="00290D10"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millones, 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se 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aumen</w:t>
      </w:r>
      <w:r w:rsidR="0033442F" w:rsidRPr="00CD1FD1">
        <w:rPr>
          <w:rFonts w:ascii="Museo Sans 300" w:hAnsi="Museo Sans 300" w:cs="Arial"/>
          <w:noProof/>
          <w:sz w:val="22"/>
          <w:szCs w:val="22"/>
          <w:lang w:val="es-SV"/>
        </w:rPr>
        <w:t>t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aron</w:t>
      </w:r>
      <w:r w:rsidRPr="00CD1FD1">
        <w:rPr>
          <w:rFonts w:ascii="Museo Sans 300" w:hAnsi="Museo Sans 300" w:cs="Arial"/>
          <w:noProof/>
          <w:sz w:val="22"/>
          <w:szCs w:val="22"/>
          <w:lang w:val="es-SV"/>
        </w:rPr>
        <w:t xml:space="preserve"> en $3.2 millones con respecto </w:t>
      </w:r>
      <w:r w:rsidR="00355D4B" w:rsidRPr="00CD1FD1">
        <w:rPr>
          <w:rFonts w:ascii="Museo Sans 300" w:hAnsi="Museo Sans 300" w:cs="Arial"/>
          <w:noProof/>
          <w:sz w:val="22"/>
          <w:szCs w:val="22"/>
          <w:lang w:val="es-SV"/>
        </w:rPr>
        <w:t>a marzo 2022</w:t>
      </w:r>
      <w:r w:rsidR="00926BCC" w:rsidRPr="00CD1FD1">
        <w:rPr>
          <w:rFonts w:ascii="Museo Sans 300" w:hAnsi="Museo Sans 300" w:cs="Arial"/>
          <w:noProof/>
          <w:sz w:val="22"/>
          <w:szCs w:val="22"/>
          <w:lang w:val="es-SV"/>
        </w:rPr>
        <w:t>.</w:t>
      </w:r>
    </w:p>
    <w:p w:rsidR="00233051" w:rsidRPr="00CD1FD1" w:rsidRDefault="00233051" w:rsidP="0011125B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</w:p>
    <w:p w:rsidR="00BE54F5" w:rsidRPr="00CD1FD1" w:rsidRDefault="00AA7D08" w:rsidP="00D834F7">
      <w:pPr>
        <w:pStyle w:val="Heading3"/>
        <w:rPr>
          <w:rFonts w:ascii="Museo Sans 300" w:hAnsi="Museo Sans 300"/>
          <w:sz w:val="22"/>
          <w:szCs w:val="22"/>
          <w:lang w:val="es-MX"/>
        </w:rPr>
      </w:pPr>
      <w:bookmarkStart w:id="35" w:name="_Toc56581210"/>
      <w:bookmarkStart w:id="36" w:name="_Toc72330649"/>
      <w:r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Gasto</w:t>
      </w:r>
      <w:r w:rsidR="007B1E8F" w:rsidRPr="00CD1FD1">
        <w:rPr>
          <w:rFonts w:ascii="Museo Sans 300" w:hAnsi="Museo Sans 300"/>
          <w:b/>
          <w:sz w:val="22"/>
          <w:szCs w:val="22"/>
          <w:lang w:val="es-MX"/>
        </w:rPr>
        <w:t>s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 xml:space="preserve"> del Sector Público No Financiero</w:t>
      </w:r>
      <w:bookmarkEnd w:id="33"/>
      <w:bookmarkEnd w:id="34"/>
      <w:bookmarkEnd w:id="35"/>
      <w:r w:rsidR="00B2286A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996C7C" w:rsidRPr="00CD1FD1">
        <w:rPr>
          <w:rFonts w:ascii="Museo Sans 300" w:hAnsi="Museo Sans 300"/>
          <w:sz w:val="22"/>
          <w:szCs w:val="22"/>
          <w:lang w:val="es-MX"/>
        </w:rPr>
        <w:t>(ver anexo 1</w:t>
      </w:r>
      <w:r w:rsidR="00404593" w:rsidRPr="00CD1FD1">
        <w:rPr>
          <w:rFonts w:ascii="Museo Sans 300" w:hAnsi="Museo Sans 300"/>
          <w:sz w:val="22"/>
          <w:szCs w:val="22"/>
          <w:lang w:val="es-MX"/>
        </w:rPr>
        <w:t xml:space="preserve"> y 2</w:t>
      </w:r>
      <w:r w:rsidR="00996C7C" w:rsidRPr="00CD1FD1">
        <w:rPr>
          <w:rFonts w:ascii="Museo Sans 300" w:hAnsi="Museo Sans 300"/>
          <w:sz w:val="22"/>
          <w:szCs w:val="22"/>
          <w:lang w:val="es-MX"/>
        </w:rPr>
        <w:t>)</w:t>
      </w:r>
      <w:bookmarkEnd w:id="36"/>
    </w:p>
    <w:p w:rsidR="00F87661" w:rsidRPr="00CD1FD1" w:rsidRDefault="00F87661" w:rsidP="00F87661">
      <w:pPr>
        <w:rPr>
          <w:rFonts w:ascii="Museo Sans 300" w:hAnsi="Museo Sans 300"/>
          <w:sz w:val="22"/>
          <w:szCs w:val="22"/>
          <w:lang w:val="es-MX"/>
        </w:rPr>
      </w:pPr>
    </w:p>
    <w:p w:rsidR="009D513A" w:rsidRPr="00CD1FD1" w:rsidRDefault="009D513A" w:rsidP="009D513A">
      <w:pPr>
        <w:ind w:right="-32"/>
        <w:jc w:val="both"/>
        <w:rPr>
          <w:rFonts w:ascii="Museo Sans 300" w:hAnsi="Museo Sans 300" w:cs="Arial"/>
          <w:iCs/>
          <w:strike/>
          <w:sz w:val="22"/>
          <w:szCs w:val="22"/>
          <w:lang w:val="es-MX"/>
        </w:rPr>
      </w:pP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La ejecución del gasto total del SPNF al </w:t>
      </w:r>
      <w:r w:rsidR="00442690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primer trimestre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de </w:t>
      </w:r>
      <w:r w:rsidR="00042C94" w:rsidRPr="00CD1FD1">
        <w:rPr>
          <w:rFonts w:ascii="Museo Sans 300" w:hAnsi="Museo Sans 300" w:cs="Arial"/>
          <w:iCs/>
          <w:sz w:val="22"/>
          <w:szCs w:val="22"/>
          <w:lang w:val="es-MX"/>
        </w:rPr>
        <w:t>20</w:t>
      </w:r>
      <w:r w:rsidR="006C3A52" w:rsidRPr="00CD1FD1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ascendió a $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419"/>
        </w:rPr>
        <w:t>2,004.0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millones,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con un incremento de $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419"/>
        </w:rPr>
        <w:t>1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419"/>
        </w:rPr>
        <w:t>89.4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,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en </w:t>
      </w:r>
      <w:r w:rsidR="00546F81" w:rsidRPr="00CD1FD1">
        <w:rPr>
          <w:rFonts w:ascii="Museo Sans 300" w:hAnsi="Museo Sans 300" w:cs="Arial"/>
          <w:iCs/>
          <w:sz w:val="22"/>
          <w:szCs w:val="22"/>
          <w:lang w:val="es-MX"/>
        </w:rPr>
        <w:t>relación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al mismo período del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año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anterior,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como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producto </w:t>
      </w:r>
      <w:r w:rsidR="00F71F6D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de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aumento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s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804CE7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en los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gasto</w:t>
      </w:r>
      <w:r w:rsidR="00804CE7" w:rsidRPr="00CD1FD1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corriente</w:t>
      </w:r>
      <w:r w:rsidR="00804CE7" w:rsidRPr="00CD1FD1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de $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62.5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millones y </w:t>
      </w:r>
      <w:r w:rsidR="00F87661" w:rsidRPr="00CD1FD1">
        <w:rPr>
          <w:rFonts w:ascii="Museo Sans 300" w:hAnsi="Museo Sans 300" w:cs="Arial"/>
          <w:iCs/>
          <w:sz w:val="22"/>
          <w:szCs w:val="22"/>
          <w:lang w:val="es-MX"/>
        </w:rPr>
        <w:t>del gasto de capital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de $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27.0</w:t>
      </w:r>
      <w:r w:rsidR="007500E5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millones.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El Gasto total representó e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n términos del PIB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un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419"/>
        </w:rPr>
        <w:t>6.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419"/>
        </w:rPr>
        <w:t>6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%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, </w:t>
      </w:r>
      <w:r w:rsidR="001910E2" w:rsidRPr="00CD1FD1">
        <w:rPr>
          <w:rFonts w:ascii="Museo Sans 300" w:hAnsi="Museo Sans 300" w:cs="Arial"/>
          <w:iCs/>
          <w:sz w:val="22"/>
          <w:szCs w:val="22"/>
          <w:lang w:val="es-SV"/>
        </w:rPr>
        <w:t>m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SV"/>
        </w:rPr>
        <w:t>ayor</w:t>
      </w:r>
      <w:r w:rsidR="00F87661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en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MX"/>
        </w:rPr>
        <w:t>0.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3</w:t>
      </w:r>
      <w:r w:rsidR="00546F81" w:rsidRPr="00CD1FD1">
        <w:rPr>
          <w:rFonts w:ascii="Museo Sans 300" w:hAnsi="Museo Sans 300" w:cs="Arial"/>
          <w:iCs/>
          <w:sz w:val="22"/>
          <w:szCs w:val="22"/>
          <w:lang w:val="es-MX"/>
        </w:rPr>
        <w:t>%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al resultado obtenido </w:t>
      </w:r>
      <w:r w:rsidR="00804CE7" w:rsidRPr="00CD1FD1">
        <w:rPr>
          <w:rFonts w:ascii="Museo Sans 300" w:hAnsi="Museo Sans 300" w:cs="Arial"/>
          <w:iCs/>
          <w:sz w:val="22"/>
          <w:szCs w:val="22"/>
          <w:lang w:val="es-MX"/>
        </w:rPr>
        <w:t>d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el año anterior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.</w:t>
      </w:r>
      <w:r w:rsidRPr="00CD1FD1">
        <w:rPr>
          <w:rFonts w:ascii="Museo Sans 300" w:hAnsi="Museo Sans 300" w:cs="Arial"/>
          <w:iCs/>
          <w:strike/>
          <w:sz w:val="22"/>
          <w:szCs w:val="22"/>
          <w:lang w:val="es-MX"/>
        </w:rPr>
        <w:t xml:space="preserve"> </w:t>
      </w:r>
    </w:p>
    <w:p w:rsidR="00694FC2" w:rsidRPr="00CD1FD1" w:rsidRDefault="00694FC2" w:rsidP="009D513A">
      <w:pPr>
        <w:ind w:right="-32"/>
        <w:jc w:val="both"/>
        <w:rPr>
          <w:rFonts w:ascii="Museo Sans 300" w:hAnsi="Museo Sans 300" w:cs="Arial"/>
          <w:iCs/>
          <w:strike/>
          <w:sz w:val="22"/>
          <w:szCs w:val="22"/>
          <w:lang w:val="es-419"/>
        </w:rPr>
      </w:pPr>
    </w:p>
    <w:p w:rsidR="00A25034" w:rsidRDefault="00BE54F5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4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: Evolución del </w:t>
      </w:r>
      <w:r w:rsidR="00167CCD" w:rsidRPr="00CD1FD1">
        <w:rPr>
          <w:rFonts w:ascii="Museo Sans 300" w:hAnsi="Museo Sans 300"/>
          <w:sz w:val="22"/>
          <w:szCs w:val="22"/>
          <w:lang w:val="es-MX"/>
        </w:rPr>
        <w:t>G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167CCD" w:rsidRPr="00CD1FD1">
        <w:rPr>
          <w:rFonts w:ascii="Museo Sans 300" w:hAnsi="Museo Sans 300"/>
          <w:sz w:val="22"/>
          <w:szCs w:val="22"/>
          <w:lang w:val="es-MX"/>
        </w:rPr>
        <w:t>P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úblico </w:t>
      </w:r>
      <w:r w:rsidR="00167CCD" w:rsidRPr="00CD1FD1">
        <w:rPr>
          <w:rFonts w:ascii="Museo Sans 300" w:hAnsi="Museo Sans 300"/>
          <w:sz w:val="22"/>
          <w:szCs w:val="22"/>
          <w:lang w:val="es-MX"/>
        </w:rPr>
        <w:t>T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otal del SPNF a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714B06" w:rsidRPr="00CD1FD1">
        <w:rPr>
          <w:rFonts w:ascii="Museo Sans 300" w:hAnsi="Museo Sans 300"/>
          <w:sz w:val="22"/>
          <w:szCs w:val="22"/>
          <w:lang w:val="es-MX"/>
        </w:rPr>
        <w:t>14</w:t>
      </w:r>
      <w:r w:rsidR="00A25034" w:rsidRPr="00CD1FD1">
        <w:rPr>
          <w:rFonts w:ascii="Museo Sans 300" w:hAnsi="Museo Sans 300"/>
          <w:sz w:val="22"/>
          <w:szCs w:val="22"/>
          <w:lang w:val="es-MX"/>
        </w:rPr>
        <w:t>-20</w:t>
      </w:r>
      <w:r w:rsidR="00714B06" w:rsidRPr="00CD1FD1">
        <w:rPr>
          <w:rFonts w:ascii="Museo Sans 300" w:hAnsi="Museo Sans 300"/>
          <w:sz w:val="22"/>
          <w:szCs w:val="22"/>
          <w:lang w:val="es-MX"/>
        </w:rPr>
        <w:t>2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BB3C83" w:rsidRPr="00CD1FD1" w:rsidRDefault="00BB3C83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E1C63" w:rsidRPr="00CD1FD1" w:rsidRDefault="00BB3C83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BB3C83">
        <w:rPr>
          <w:noProof/>
        </w:rPr>
        <w:drawing>
          <wp:inline distT="0" distB="0" distL="0" distR="0">
            <wp:extent cx="4235187" cy="2505600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743" cy="251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34" w:rsidRPr="00ED3D89" w:rsidRDefault="00BC718B" w:rsidP="00F14F4B">
      <w:pPr>
        <w:jc w:val="center"/>
        <w:rPr>
          <w:rFonts w:ascii="Museo Sans 300" w:hAnsi="Museo Sans 300"/>
          <w:b/>
          <w:sz w:val="18"/>
          <w:szCs w:val="18"/>
          <w:lang w:val="es-MX"/>
        </w:rPr>
      </w:pPr>
      <w:r w:rsidRPr="00ED3D89">
        <w:rPr>
          <w:rFonts w:ascii="Museo Sans 300" w:hAnsi="Museo Sans 300"/>
          <w:b/>
          <w:sz w:val="18"/>
          <w:szCs w:val="18"/>
          <w:lang w:val="es-MX"/>
        </w:rPr>
        <w:t>Fuente</w:t>
      </w:r>
      <w:r w:rsidR="00ED3D89" w:rsidRPr="00ED3D89">
        <w:rPr>
          <w:rFonts w:ascii="Museo Sans 300" w:hAnsi="Museo Sans 300"/>
          <w:b/>
          <w:sz w:val="18"/>
          <w:szCs w:val="18"/>
          <w:lang w:val="es-MX"/>
        </w:rPr>
        <w:t>: Ministerio de Hacienda</w:t>
      </w:r>
    </w:p>
    <w:p w:rsidR="00BE54F5" w:rsidRPr="00CD1FD1" w:rsidRDefault="00442DE5" w:rsidP="008733DC">
      <w:pPr>
        <w:pStyle w:val="Heading2"/>
        <w:rPr>
          <w:rFonts w:ascii="Museo Sans 300" w:hAnsi="Museo Sans 300"/>
          <w:sz w:val="22"/>
          <w:szCs w:val="22"/>
          <w:lang w:val="es-MX"/>
        </w:rPr>
      </w:pPr>
      <w:bookmarkStart w:id="37" w:name="_Toc411843465"/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 xml:space="preserve"> </w:t>
      </w:r>
      <w:bookmarkStart w:id="38" w:name="_Toc56581211"/>
      <w:bookmarkStart w:id="39" w:name="_Toc72330650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.1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Gastos corrientes</w:t>
      </w:r>
      <w:bookmarkEnd w:id="37"/>
      <w:bookmarkEnd w:id="38"/>
      <w:bookmarkEnd w:id="39"/>
    </w:p>
    <w:p w:rsidR="00BB5C3E" w:rsidRPr="00CD1FD1" w:rsidRDefault="00BB5C3E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40CCA" w:rsidRPr="00CD1FD1" w:rsidRDefault="00694FC2" w:rsidP="004A685A">
      <w:pPr>
        <w:jc w:val="both"/>
        <w:rPr>
          <w:rFonts w:ascii="Museo Sans 300" w:hAnsi="Museo Sans 300" w:cs="Arial"/>
          <w:iCs/>
          <w:sz w:val="22"/>
          <w:szCs w:val="22"/>
          <w:highlight w:val="yellow"/>
          <w:lang w:val="es-MX"/>
        </w:rPr>
      </w:pP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Los gastos corrientes del SPNF registraron un monto de $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MX"/>
        </w:rPr>
        <w:t>1,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856.9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millones, mostrando un crecimiento de 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9.6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%</w:t>
      </w:r>
      <w:r w:rsidR="00F733D9" w:rsidRPr="00CD1FD1">
        <w:rPr>
          <w:rFonts w:ascii="Museo Sans 300" w:hAnsi="Museo Sans 300" w:cs="Arial"/>
          <w:iCs/>
          <w:sz w:val="22"/>
          <w:szCs w:val="22"/>
          <w:lang w:val="es-MX"/>
        </w:rPr>
        <w:t>,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debido a</w:t>
      </w:r>
      <w:r w:rsidR="007500E5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incrementos en </w:t>
      </w:r>
      <w:r w:rsidR="007500E5" w:rsidRPr="00CD1FD1">
        <w:rPr>
          <w:rFonts w:ascii="Museo Sans 300" w:hAnsi="Museo Sans 300" w:cs="Arial"/>
          <w:iCs/>
          <w:sz w:val="22"/>
          <w:szCs w:val="22"/>
          <w:lang w:val="es-MX"/>
        </w:rPr>
        <w:t>todos los rubros que lo conforman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. Como porcentaje del PIB el gasto corriente representa un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MX"/>
        </w:rPr>
        <w:t>6.</w:t>
      </w:r>
      <w:r w:rsidR="00216368" w:rsidRPr="00CD1FD1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%, </w:t>
      </w:r>
      <w:r w:rsidR="0070184D" w:rsidRPr="00CD1FD1">
        <w:rPr>
          <w:rFonts w:ascii="Museo Sans 300" w:hAnsi="Museo Sans 300" w:cs="Arial"/>
          <w:iCs/>
          <w:sz w:val="22"/>
          <w:szCs w:val="22"/>
          <w:lang w:val="es-MX"/>
        </w:rPr>
        <w:t>superior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en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MX"/>
        </w:rPr>
        <w:t>0.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punto</w:t>
      </w:r>
      <w:r w:rsidR="0070184D" w:rsidRPr="00CD1FD1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porcentual</w:t>
      </w:r>
      <w:r w:rsidR="0070184D" w:rsidRPr="00CD1FD1">
        <w:rPr>
          <w:rFonts w:ascii="Museo Sans 300" w:hAnsi="Museo Sans 300" w:cs="Arial"/>
          <w:iCs/>
          <w:sz w:val="22"/>
          <w:szCs w:val="22"/>
          <w:lang w:val="es-MX"/>
        </w:rPr>
        <w:t>es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al alcanzado en el año anterior</w:t>
      </w:r>
      <w:r w:rsidR="00C40CCA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. </w:t>
      </w:r>
    </w:p>
    <w:p w:rsidR="00F22F3D" w:rsidRPr="00CD1FD1" w:rsidRDefault="00F22F3D" w:rsidP="004A685A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:rsidR="00A50DFB" w:rsidRPr="00CD1FD1" w:rsidRDefault="009D513A" w:rsidP="009D513A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A nivel de detalle,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los gastos de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consumo ascendieron a 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1,079.5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millones,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95.5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más que los registrados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a </w:t>
      </w:r>
      <w:r w:rsidR="00442690" w:rsidRPr="00CD1FD1">
        <w:rPr>
          <w:rFonts w:ascii="Museo Sans 300" w:hAnsi="Museo Sans 300" w:cs="Arial"/>
          <w:iCs/>
          <w:sz w:val="22"/>
          <w:szCs w:val="22"/>
          <w:lang w:val="es-MX"/>
        </w:rPr>
        <w:t>marzo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de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581B7E" w:rsidRPr="00CD1FD1">
        <w:rPr>
          <w:rFonts w:ascii="Museo Sans 300" w:hAnsi="Museo Sans 300" w:cs="Arial"/>
          <w:iCs/>
          <w:sz w:val="22"/>
          <w:szCs w:val="22"/>
          <w:lang w:val="es-419"/>
        </w:rPr>
        <w:t>2021</w:t>
      </w:r>
      <w:r w:rsidR="00A50DF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, 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donde</w:t>
      </w:r>
      <w:r w:rsidR="00A50DF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las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remuneraciones 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crecieron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SV"/>
        </w:rPr>
        <w:t>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31.2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millones,</w:t>
      </w:r>
      <w:r w:rsidR="00267DFC" w:rsidRPr="00CD1FD1">
        <w:rPr>
          <w:rFonts w:ascii="Museo Sans 300" w:hAnsi="Museo Sans 300" w:cs="Arial"/>
          <w:i/>
          <w:iCs/>
          <w:sz w:val="22"/>
          <w:szCs w:val="22"/>
        </w:rPr>
        <w:t xml:space="preserve"> 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y </w:t>
      </w:r>
      <w:r w:rsidR="0070184D" w:rsidRPr="00CD1FD1">
        <w:rPr>
          <w:rFonts w:ascii="Museo Sans 300" w:hAnsi="Museo Sans 300" w:cs="Arial"/>
          <w:iCs/>
          <w:sz w:val="22"/>
          <w:szCs w:val="22"/>
          <w:lang w:val="es-SV"/>
        </w:rPr>
        <w:t>los bienes y servicios por 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64.3</w:t>
      </w:r>
      <w:r w:rsidR="0070184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</w:t>
      </w:r>
      <w:r w:rsidR="00C64212" w:rsidRPr="00CD1FD1">
        <w:rPr>
          <w:rFonts w:ascii="Museo Sans 300" w:hAnsi="Museo Sans 300" w:cs="Arial"/>
          <w:iCs/>
          <w:sz w:val="22"/>
          <w:szCs w:val="22"/>
          <w:lang w:val="es-SV"/>
        </w:rPr>
        <w:t>.</w:t>
      </w:r>
    </w:p>
    <w:p w:rsidR="009D513A" w:rsidRPr="00CD1FD1" w:rsidRDefault="00A50DFB" w:rsidP="009D513A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</w:p>
    <w:p w:rsidR="00C40CCA" w:rsidRPr="00CD1FD1" w:rsidRDefault="009D513A" w:rsidP="00C40CCA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Los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intereses de la deuda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ascendieron a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un valor de $</w:t>
      </w:r>
      <w:r w:rsidR="00267DFC" w:rsidRPr="00CD1FD1">
        <w:rPr>
          <w:rFonts w:ascii="Museo Sans 300" w:hAnsi="Museo Sans 300" w:cs="Arial"/>
          <w:iCs/>
          <w:sz w:val="22"/>
          <w:szCs w:val="22"/>
          <w:lang w:val="es-MX"/>
        </w:rPr>
        <w:t>4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51.3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millones, mostrando un</w:t>
      </w:r>
      <w:r w:rsidR="006C3A52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aumento</w:t>
      </w:r>
      <w:r w:rsidR="00F87661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de 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7.2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%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, con respecto al año anterior</w:t>
      </w:r>
      <w:r w:rsidR="00C40CCA" w:rsidRPr="00CD1FD1">
        <w:rPr>
          <w:rFonts w:ascii="Museo Sans 300" w:hAnsi="Museo Sans 300" w:cs="Arial"/>
          <w:iCs/>
          <w:sz w:val="22"/>
          <w:szCs w:val="22"/>
          <w:lang w:val="es-SV"/>
        </w:rPr>
        <w:t>,</w:t>
      </w:r>
      <w:r w:rsidR="00C40CCA" w:rsidRPr="00CD1FD1">
        <w:rPr>
          <w:rFonts w:ascii="Museo Sans 300" w:hAnsi="Museo Sans 300" w:cs="Arial"/>
          <w:i/>
          <w:iCs/>
          <w:sz w:val="22"/>
          <w:szCs w:val="22"/>
        </w:rPr>
        <w:t xml:space="preserve"> </w:t>
      </w:r>
      <w:r w:rsidR="00C40CCA" w:rsidRPr="00CD1FD1">
        <w:rPr>
          <w:rFonts w:ascii="Museo Sans 300" w:hAnsi="Museo Sans 300" w:cs="Arial"/>
          <w:iCs/>
          <w:sz w:val="22"/>
          <w:szCs w:val="22"/>
          <w:lang w:val="es-419"/>
        </w:rPr>
        <w:t>reflejado básicamente en el Gobierno Central</w:t>
      </w:r>
      <w:r w:rsidR="00E56600" w:rsidRPr="00CD1FD1">
        <w:rPr>
          <w:rFonts w:ascii="Museo Sans 300" w:hAnsi="Museo Sans 300" w:cs="Arial"/>
          <w:iCs/>
          <w:sz w:val="22"/>
          <w:szCs w:val="22"/>
          <w:lang w:val="es-419"/>
        </w:rPr>
        <w:t>, derivado del mayor endeudamiento público contratado</w:t>
      </w:r>
      <w:r w:rsidR="00C40CCA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. </w:t>
      </w:r>
    </w:p>
    <w:p w:rsidR="007E3EC1" w:rsidRPr="00CD1FD1" w:rsidRDefault="007E3EC1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33421" w:rsidRPr="00CD1FD1" w:rsidRDefault="00267DFC" w:rsidP="00533421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En cuanto a las transferencias corrientes, éstas ascendieron a 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326.0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millones, incrementándose con respecto al </w:t>
      </w:r>
      <w:r w:rsidR="004F7889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mismo período del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año anterior en 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MX"/>
        </w:rPr>
        <w:t>36.7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="00533421" w:rsidRPr="00CD1FD1">
        <w:rPr>
          <w:rFonts w:ascii="Museo Sans 300" w:hAnsi="Museo Sans 300" w:cs="Arial"/>
          <w:iCs/>
          <w:sz w:val="22"/>
          <w:szCs w:val="22"/>
          <w:lang w:val="es-MX"/>
        </w:rPr>
        <w:t>. Entre las transferencias que destacan podemos mencionar: el pago a Veteranos y ex combatientes $30.2 millones; subsidios $69.7 millones; transferencia al Instituto de Previsión de la Fuerza Armada (IPSFA) $20.5 millones, aporte al régimen de pensiones de INPEP e ISSS $37.8, fideicomiso</w:t>
      </w:r>
      <w:r w:rsidR="001A0A78" w:rsidRPr="00CD1FD1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="00533421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1A0A78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que </w:t>
      </w:r>
      <w:r w:rsidR="00533421" w:rsidRPr="00CD1FD1">
        <w:rPr>
          <w:rFonts w:ascii="Museo Sans 300" w:hAnsi="Museo Sans 300" w:cs="Arial"/>
          <w:iCs/>
          <w:sz w:val="22"/>
          <w:szCs w:val="22"/>
          <w:lang w:val="es-MX"/>
        </w:rPr>
        <w:t>suman $32.8 millones, paquetes escolares $11.2 millones, lisiados y desmovilizados $14.</w:t>
      </w:r>
      <w:r w:rsidR="00C16EF6" w:rsidRPr="00CD1FD1">
        <w:rPr>
          <w:rFonts w:ascii="Museo Sans 300" w:hAnsi="Museo Sans 300" w:cs="Arial"/>
          <w:iCs/>
          <w:sz w:val="22"/>
          <w:szCs w:val="22"/>
          <w:lang w:val="es-MX"/>
        </w:rPr>
        <w:t>7</w:t>
      </w:r>
      <w:r w:rsidR="00533421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C16EF6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millones, </w:t>
      </w:r>
      <w:r w:rsidR="00533421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entre otras. </w:t>
      </w:r>
    </w:p>
    <w:p w:rsidR="00533421" w:rsidRPr="00CD1FD1" w:rsidRDefault="00533421" w:rsidP="00267DFC">
      <w:pPr>
        <w:pStyle w:val="NormalWeb"/>
        <w:shd w:val="clear" w:color="auto" w:fill="FFFFFF"/>
        <w:spacing w:before="0" w:beforeAutospacing="0" w:after="143" w:afterAutospacing="0"/>
        <w:jc w:val="both"/>
        <w:rPr>
          <w:rFonts w:ascii="Museo Sans 300" w:hAnsi="Museo Sans 300" w:cs="Arial"/>
          <w:iCs/>
          <w:sz w:val="22"/>
          <w:szCs w:val="22"/>
          <w:highlight w:val="yellow"/>
          <w:lang w:eastAsia="es-ES"/>
        </w:rPr>
      </w:pPr>
    </w:p>
    <w:p w:rsidR="007732BA" w:rsidRPr="00CD1FD1" w:rsidRDefault="001B1625" w:rsidP="00F5794C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5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: Composición del gasto corriente del SPNF a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01373" w:rsidRPr="00CD1FD1">
        <w:rPr>
          <w:rFonts w:ascii="Museo Sans 300" w:hAnsi="Museo Sans 300"/>
          <w:sz w:val="22"/>
          <w:szCs w:val="22"/>
          <w:lang w:val="es-MX"/>
        </w:rPr>
        <w:t>201</w:t>
      </w:r>
      <w:r w:rsidR="00993516">
        <w:rPr>
          <w:rFonts w:ascii="Museo Sans 300" w:hAnsi="Museo Sans 300"/>
          <w:sz w:val="22"/>
          <w:szCs w:val="22"/>
          <w:lang w:val="es-MX"/>
        </w:rPr>
        <w:t>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-20</w:t>
      </w:r>
      <w:r w:rsidR="00072BB0" w:rsidRPr="00CD1FD1">
        <w:rPr>
          <w:rFonts w:ascii="Museo Sans 300" w:hAnsi="Museo Sans 300"/>
          <w:sz w:val="22"/>
          <w:szCs w:val="22"/>
          <w:lang w:val="es-MX"/>
        </w:rPr>
        <w:t>2</w:t>
      </w:r>
      <w:r w:rsidR="00E41D5E" w:rsidRPr="00CD1FD1">
        <w:rPr>
          <w:rFonts w:ascii="Museo Sans 300" w:hAnsi="Museo Sans 300"/>
          <w:sz w:val="22"/>
          <w:szCs w:val="22"/>
          <w:lang w:val="es-MX"/>
        </w:rPr>
        <w:t>2</w:t>
      </w:r>
      <w:r w:rsidR="00142BDD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745752" w:rsidRPr="00CD1FD1" w:rsidRDefault="00745752" w:rsidP="00F5794C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B1625" w:rsidRPr="00CD1FD1" w:rsidRDefault="00800FCD" w:rsidP="007732BA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800FCD">
        <w:rPr>
          <w:noProof/>
        </w:rPr>
        <w:drawing>
          <wp:inline distT="0" distB="0" distL="0" distR="0">
            <wp:extent cx="4838435" cy="3263044"/>
            <wp:effectExtent l="0" t="0" r="635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863" cy="327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A7" w:rsidRPr="00CD1FD1" w:rsidRDefault="00617FA7" w:rsidP="0098260F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</w:p>
    <w:p w:rsidR="0098260F" w:rsidRPr="00CD1FD1" w:rsidRDefault="002C3C06" w:rsidP="0098260F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En la siguiente gr</w:t>
      </w:r>
      <w:r w:rsidR="00D61A43">
        <w:rPr>
          <w:rFonts w:ascii="Museo Sans 300" w:hAnsi="Museo Sans 300" w:cs="Arial"/>
          <w:iCs/>
          <w:sz w:val="22"/>
          <w:szCs w:val="22"/>
          <w:lang w:val="es-SV"/>
        </w:rPr>
        <w:t>á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fica se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present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la evolución de los subsidios </w:t>
      </w:r>
      <w:r w:rsidR="007E397A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durante el período 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de marzo </w:t>
      </w:r>
      <w:r w:rsidR="007E397A" w:rsidRPr="00CD1FD1">
        <w:rPr>
          <w:rFonts w:ascii="Museo Sans 300" w:hAnsi="Museo Sans 300" w:cs="Arial"/>
          <w:iCs/>
          <w:sz w:val="22"/>
          <w:szCs w:val="22"/>
          <w:lang w:val="es-SV"/>
        </w:rPr>
        <w:t>2014 -202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, </w:t>
      </w:r>
      <w:r w:rsidR="00386BC0" w:rsidRPr="00CD1FD1">
        <w:rPr>
          <w:rFonts w:ascii="Museo Sans 300" w:hAnsi="Museo Sans 300" w:cs="Arial"/>
          <w:iCs/>
          <w:sz w:val="22"/>
          <w:szCs w:val="22"/>
          <w:lang w:val="es-SV"/>
        </w:rPr>
        <w:t>en donde se observa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una tendencia decreciente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al pasar de </w:t>
      </w:r>
      <w:r w:rsidR="00F00D19" w:rsidRPr="00CD1FD1">
        <w:rPr>
          <w:rFonts w:ascii="Museo Sans 300" w:hAnsi="Museo Sans 300" w:cs="Arial"/>
          <w:iCs/>
          <w:sz w:val="22"/>
          <w:szCs w:val="22"/>
          <w:lang w:val="es-SV"/>
        </w:rPr>
        <w:t>0</w:t>
      </w:r>
      <w:r w:rsidR="00FC2421" w:rsidRPr="00CD1FD1">
        <w:rPr>
          <w:rFonts w:ascii="Museo Sans 300" w:hAnsi="Museo Sans 300" w:cs="Arial"/>
          <w:iCs/>
          <w:sz w:val="22"/>
          <w:szCs w:val="22"/>
          <w:lang w:val="es-SV"/>
        </w:rPr>
        <w:t>.</w:t>
      </w:r>
      <w:r w:rsidR="000B31AE" w:rsidRPr="00CD1FD1">
        <w:rPr>
          <w:rFonts w:ascii="Museo Sans 300" w:hAnsi="Museo Sans 300" w:cs="Arial"/>
          <w:iCs/>
          <w:sz w:val="22"/>
          <w:szCs w:val="22"/>
          <w:lang w:val="es-SV"/>
        </w:rPr>
        <w:t>4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% </w:t>
      </w:r>
      <w:r w:rsidR="005C4917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con respecto 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del 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lastRenderedPageBreak/>
        <w:t xml:space="preserve">PIB </w:t>
      </w:r>
      <w:r w:rsidR="00151722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en 2014 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>a 0.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% </w:t>
      </w:r>
      <w:r w:rsidR="00355D4B" w:rsidRPr="00CD1FD1">
        <w:rPr>
          <w:rFonts w:ascii="Museo Sans 300" w:hAnsi="Museo Sans 300" w:cs="Arial"/>
          <w:iCs/>
          <w:sz w:val="22"/>
          <w:szCs w:val="22"/>
          <w:lang w:val="es-SV"/>
        </w:rPr>
        <w:t>a marzo 2022</w:t>
      </w:r>
      <w:r w:rsidR="009D780D" w:rsidRPr="00CD1FD1">
        <w:rPr>
          <w:rFonts w:ascii="Museo Sans 300" w:hAnsi="Museo Sans 300" w:cs="Arial"/>
          <w:iCs/>
          <w:sz w:val="22"/>
          <w:szCs w:val="22"/>
          <w:lang w:val="es-SV"/>
        </w:rPr>
        <w:t>.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340B9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El total de 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>los subsidios ascienden a 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69.7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millones, </w:t>
      </w:r>
      <w:r w:rsidR="00F00D19" w:rsidRPr="00CD1FD1">
        <w:rPr>
          <w:rFonts w:ascii="Museo Sans 300" w:hAnsi="Museo Sans 300" w:cs="Arial"/>
          <w:iCs/>
          <w:sz w:val="22"/>
          <w:szCs w:val="22"/>
          <w:lang w:val="es-SV"/>
        </w:rPr>
        <w:t>aumentando $</w:t>
      </w:r>
      <w:r w:rsidR="00BD5595" w:rsidRPr="00CD1FD1">
        <w:rPr>
          <w:rFonts w:ascii="Museo Sans 300" w:hAnsi="Museo Sans 300" w:cs="Arial"/>
          <w:iCs/>
          <w:sz w:val="22"/>
          <w:szCs w:val="22"/>
          <w:lang w:val="es-SV"/>
        </w:rPr>
        <w:t>34.8</w:t>
      </w:r>
      <w:r w:rsidR="0098260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con respecto a </w:t>
      </w:r>
      <w:r w:rsidR="00581B7E" w:rsidRPr="00CD1FD1">
        <w:rPr>
          <w:rFonts w:ascii="Museo Sans 300" w:hAnsi="Museo Sans 300" w:cs="Arial"/>
          <w:iCs/>
          <w:sz w:val="22"/>
          <w:szCs w:val="22"/>
          <w:lang w:val="es-SV"/>
        </w:rPr>
        <w:t>2021</w:t>
      </w:r>
      <w:r w:rsidR="00F00D19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. </w:t>
      </w:r>
    </w:p>
    <w:p w:rsidR="003D01C6" w:rsidRPr="00CD1FD1" w:rsidRDefault="003D01C6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D780D" w:rsidRPr="00CD1FD1" w:rsidRDefault="009D780D" w:rsidP="00386BC0">
      <w:pPr>
        <w:jc w:val="center"/>
        <w:rPr>
          <w:rFonts w:ascii="Museo Sans 300" w:hAnsi="Museo Sans 300"/>
          <w:sz w:val="22"/>
          <w:szCs w:val="22"/>
          <w:highlight w:val="yellow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: Subsidios a servicios básicos a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de 20</w:t>
      </w:r>
      <w:r w:rsidR="00151722" w:rsidRPr="00CD1FD1">
        <w:rPr>
          <w:rFonts w:ascii="Museo Sans 300" w:hAnsi="Museo Sans 300"/>
          <w:sz w:val="22"/>
          <w:szCs w:val="22"/>
          <w:lang w:val="es-MX"/>
        </w:rPr>
        <w:t>14</w:t>
      </w:r>
      <w:r w:rsidRPr="00CD1FD1">
        <w:rPr>
          <w:rFonts w:ascii="Museo Sans 300" w:hAnsi="Museo Sans 300"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202</w:t>
      </w:r>
      <w:r w:rsidR="003D01C6" w:rsidRPr="00CD1FD1">
        <w:rPr>
          <w:rFonts w:ascii="Museo Sans 300" w:hAnsi="Museo Sans 300"/>
          <w:sz w:val="22"/>
          <w:szCs w:val="22"/>
          <w:lang w:val="es-MX"/>
        </w:rPr>
        <w:t>2</w:t>
      </w:r>
      <w:r w:rsidR="008668D1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547C08" w:rsidRPr="00CD1FD1" w:rsidRDefault="00547C0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AF3BC8" w:rsidRPr="00191565" w:rsidRDefault="000A4F43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0A4F43">
        <w:rPr>
          <w:noProof/>
        </w:rPr>
        <w:drawing>
          <wp:inline distT="0" distB="0" distL="0" distR="0">
            <wp:extent cx="5097780" cy="3312160"/>
            <wp:effectExtent l="0" t="0" r="762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8" w:rsidRPr="00993516" w:rsidRDefault="00DB11D8" w:rsidP="001902A4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</w:p>
    <w:p w:rsidR="001902A4" w:rsidRPr="00CD1FD1" w:rsidRDefault="001902A4" w:rsidP="001902A4">
      <w:pPr>
        <w:pStyle w:val="BodyText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A continuación, se detalla la distribución de los subsidios de la siguiente forma: 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SV"/>
        </w:rPr>
        <w:t>45.8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 al gas licuado</w:t>
      </w:r>
      <w:r w:rsidR="00961352" w:rsidRPr="00CD1FD1">
        <w:rPr>
          <w:rFonts w:ascii="Museo Sans 300" w:hAnsi="Museo Sans 300" w:cs="Arial"/>
          <w:iCs/>
          <w:sz w:val="22"/>
          <w:szCs w:val="22"/>
          <w:lang w:val="es-SV"/>
        </w:rPr>
        <w:t>, asociado</w:t>
      </w:r>
      <w:r w:rsidR="00340B9B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a incrementos de </w:t>
      </w:r>
      <w:r w:rsidR="00961352" w:rsidRPr="00CD1FD1">
        <w:rPr>
          <w:rFonts w:ascii="Museo Sans 300" w:hAnsi="Museo Sans 300" w:cs="Arial"/>
          <w:iCs/>
          <w:sz w:val="22"/>
          <w:szCs w:val="22"/>
          <w:lang w:val="es-SV"/>
        </w:rPr>
        <w:t>los precios internacionales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; la energía eléctrica $1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SV"/>
        </w:rPr>
        <w:t>6.1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 y al transporte, 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SV"/>
        </w:rPr>
        <w:t>7.8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millones. En lo que se refiere a las devoluciones de impuestos, éstas registra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>ro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n un monto de 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SV"/>
        </w:rPr>
        <w:t>6.5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millones, dicha cantidad es m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SV"/>
        </w:rPr>
        <w:t>ayor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a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l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registrad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el año anterior en 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SV"/>
        </w:rPr>
        <w:t>1.5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millones</w:t>
      </w:r>
      <w:r w:rsidRPr="00191565">
        <w:rPr>
          <w:rFonts w:ascii="Museo Sans 300" w:hAnsi="Museo Sans 300" w:cs="Arial"/>
          <w:iCs/>
          <w:sz w:val="22"/>
          <w:szCs w:val="22"/>
          <w:lang w:val="es-SV"/>
        </w:rPr>
        <w:t>.</w:t>
      </w:r>
      <w:r w:rsidR="001A0A78" w:rsidRPr="00191565">
        <w:rPr>
          <w:rFonts w:ascii="Museo Sans 300" w:hAnsi="Museo Sans 300" w:cs="Arial"/>
          <w:iCs/>
          <w:sz w:val="22"/>
          <w:szCs w:val="22"/>
          <w:lang w:val="es-SV"/>
        </w:rPr>
        <w:t xml:space="preserve">  En lo que se refiere a las devoluciones de impuestos, éstas registraron un monto de $6.5 millones.</w:t>
      </w:r>
      <w:r w:rsidRPr="00191565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A continuación, se presenta el detalle </w:t>
      </w:r>
      <w:r w:rsidR="00961352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una serie desde 2014-2022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>de los principales subsidios y devoluciones de impuestos.</w:t>
      </w:r>
    </w:p>
    <w:p w:rsidR="00080BF7" w:rsidRPr="00993516" w:rsidRDefault="00080BF7" w:rsidP="001902A4">
      <w:pPr>
        <w:rPr>
          <w:rFonts w:ascii="Museo Sans 300" w:hAnsi="Museo Sans 300"/>
          <w:b/>
          <w:sz w:val="16"/>
          <w:szCs w:val="16"/>
          <w:lang w:val="es-SV"/>
        </w:rPr>
      </w:pPr>
    </w:p>
    <w:p w:rsidR="00E75292" w:rsidRPr="00CD1FD1" w:rsidRDefault="007322EB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T</w:t>
      </w:r>
      <w:r w:rsidR="004F29B4" w:rsidRPr="00CD1FD1">
        <w:rPr>
          <w:rFonts w:ascii="Museo Sans 300" w:hAnsi="Museo Sans 300"/>
          <w:b/>
          <w:sz w:val="22"/>
          <w:szCs w:val="22"/>
          <w:lang w:val="es-MX"/>
        </w:rPr>
        <w:t xml:space="preserve">abla No. </w:t>
      </w:r>
      <w:r w:rsidR="006B57E8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F14F4B" w:rsidRPr="00CD1FD1">
        <w:rPr>
          <w:rFonts w:ascii="Museo Sans 300" w:hAnsi="Museo Sans 300"/>
          <w:b/>
          <w:sz w:val="22"/>
          <w:szCs w:val="22"/>
          <w:lang w:val="es-MX"/>
        </w:rPr>
        <w:t xml:space="preserve">: 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Subsidios y Devoluciones de </w:t>
      </w:r>
      <w:r w:rsidR="00546F81" w:rsidRPr="00CD1FD1">
        <w:rPr>
          <w:rFonts w:ascii="Museo Sans 300" w:hAnsi="Museo Sans 300"/>
          <w:b/>
          <w:sz w:val="22"/>
          <w:szCs w:val="22"/>
          <w:lang w:val="es-MX"/>
        </w:rPr>
        <w:t>Impuestos a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442690" w:rsidRPr="00CD1FD1">
        <w:rPr>
          <w:rFonts w:ascii="Museo Sans 300" w:hAnsi="Museo Sans 300"/>
          <w:b/>
          <w:sz w:val="22"/>
          <w:szCs w:val="22"/>
          <w:lang w:val="es-MX"/>
        </w:rPr>
        <w:t>marzo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 de 20</w:t>
      </w:r>
      <w:r w:rsidR="00072BB0" w:rsidRPr="00CD1FD1">
        <w:rPr>
          <w:rFonts w:ascii="Museo Sans 300" w:hAnsi="Museo Sans 300"/>
          <w:b/>
          <w:sz w:val="22"/>
          <w:szCs w:val="22"/>
          <w:lang w:val="es-MX"/>
        </w:rPr>
        <w:t>14</w:t>
      </w:r>
      <w:r w:rsidR="00E75292" w:rsidRPr="00CD1FD1">
        <w:rPr>
          <w:rFonts w:ascii="Museo Sans 300" w:hAnsi="Museo Sans 300"/>
          <w:b/>
          <w:sz w:val="22"/>
          <w:szCs w:val="22"/>
          <w:lang w:val="es-MX"/>
        </w:rPr>
        <w:t xml:space="preserve"> -20</w:t>
      </w:r>
      <w:r w:rsidR="00072BB0"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3D01C6" w:rsidRPr="00CD1FD1">
        <w:rPr>
          <w:rFonts w:ascii="Museo Sans 300" w:hAnsi="Museo Sans 300"/>
          <w:b/>
          <w:sz w:val="22"/>
          <w:szCs w:val="22"/>
          <w:lang w:val="es-MX"/>
        </w:rPr>
        <w:t>2</w:t>
      </w:r>
    </w:p>
    <w:p w:rsidR="00123067" w:rsidRPr="00CD1FD1" w:rsidRDefault="00E75292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Millones de $</w:t>
      </w:r>
    </w:p>
    <w:p w:rsidR="00123067" w:rsidRPr="00993516" w:rsidRDefault="00123067" w:rsidP="00E75292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</w:p>
    <w:p w:rsidR="00E75292" w:rsidRDefault="00191565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191565">
        <w:rPr>
          <w:noProof/>
        </w:rPr>
        <w:drawing>
          <wp:inline distT="0" distB="0" distL="0" distR="0">
            <wp:extent cx="6451207" cy="2197634"/>
            <wp:effectExtent l="0" t="0" r="698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20" cy="220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46" w:rsidRPr="00993516" w:rsidRDefault="001B3A46" w:rsidP="00E75292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  <w:r w:rsidRPr="00993516">
        <w:rPr>
          <w:rFonts w:ascii="Museo Sans 300" w:hAnsi="Museo Sans 300"/>
          <w:b/>
          <w:sz w:val="16"/>
          <w:szCs w:val="16"/>
          <w:lang w:val="es-MX"/>
        </w:rPr>
        <w:t>Fuente</w:t>
      </w:r>
      <w:r w:rsidR="00993516" w:rsidRPr="00993516">
        <w:rPr>
          <w:rFonts w:ascii="Museo Sans 300" w:hAnsi="Museo Sans 300"/>
          <w:b/>
          <w:sz w:val="16"/>
          <w:szCs w:val="16"/>
          <w:lang w:val="es-MX"/>
        </w:rPr>
        <w:t>: DGT</w:t>
      </w:r>
    </w:p>
    <w:p w:rsidR="00BE54F5" w:rsidRPr="00CD1FD1" w:rsidRDefault="00D6012E" w:rsidP="00757972">
      <w:pPr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br w:type="page"/>
      </w:r>
      <w:bookmarkStart w:id="40" w:name="_Toc411843466"/>
      <w:bookmarkStart w:id="41" w:name="_Toc56581212"/>
      <w:bookmarkStart w:id="42" w:name="_Toc72330651"/>
      <w:r w:rsidR="00757972">
        <w:rPr>
          <w:rFonts w:ascii="Museo Sans 300" w:hAnsi="Museo Sans 300"/>
          <w:b/>
          <w:sz w:val="22"/>
          <w:szCs w:val="22"/>
          <w:lang w:val="es-MX"/>
        </w:rPr>
        <w:lastRenderedPageBreak/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.2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Gasto de capital</w:t>
      </w:r>
      <w:bookmarkEnd w:id="40"/>
      <w:bookmarkEnd w:id="41"/>
      <w:bookmarkEnd w:id="42"/>
    </w:p>
    <w:p w:rsidR="00BE54F5" w:rsidRPr="00CD1FD1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7628C0" w:rsidRPr="00CD1FD1" w:rsidRDefault="00843EEE" w:rsidP="007628C0">
      <w:pPr>
        <w:spacing w:before="240" w:after="240"/>
        <w:contextualSpacing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Los gastos de capital del SPNF </w:t>
      </w:r>
      <w:r w:rsidR="006A326C" w:rsidRPr="00CD1FD1">
        <w:rPr>
          <w:rFonts w:ascii="Museo Sans 300" w:hAnsi="Museo Sans 300" w:cs="Arial"/>
          <w:iCs/>
          <w:sz w:val="22"/>
          <w:szCs w:val="22"/>
          <w:lang w:val="es-MX"/>
        </w:rPr>
        <w:t>a marzo de 2022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alcanzaron un monto de $</w:t>
      </w:r>
      <w:r w:rsidR="007628C0" w:rsidRPr="00CD1FD1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>47.2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millones,</w:t>
      </w:r>
      <w:r w:rsidRPr="00CD1FD1">
        <w:rPr>
          <w:rFonts w:ascii="Museo Sans 300" w:hAnsi="Museo Sans 300" w:cs="Arial"/>
          <w:iCs/>
          <w:sz w:val="22"/>
          <w:szCs w:val="22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experimentando un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incremento</w:t>
      </w:r>
      <w:r w:rsidR="00961352"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de 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419"/>
        </w:rPr>
        <w:t>27.0</w:t>
      </w:r>
      <w:r w:rsidRPr="00CD1FD1">
        <w:rPr>
          <w:rFonts w:ascii="Museo Sans 300" w:hAnsi="Museo Sans 300" w:cs="Arial"/>
          <w:iCs/>
          <w:sz w:val="22"/>
          <w:szCs w:val="22"/>
        </w:rPr>
        <w:t xml:space="preserve"> millones, equivalente a </w:t>
      </w:r>
      <w:r w:rsidR="00F201A9" w:rsidRPr="00CD1FD1">
        <w:rPr>
          <w:rFonts w:ascii="Museo Sans 300" w:hAnsi="Museo Sans 300" w:cs="Arial"/>
          <w:iCs/>
          <w:sz w:val="22"/>
          <w:szCs w:val="22"/>
        </w:rPr>
        <w:t>22.4</w:t>
      </w:r>
      <w:r w:rsidRPr="00CD1FD1">
        <w:rPr>
          <w:rFonts w:ascii="Museo Sans 300" w:hAnsi="Museo Sans 300" w:cs="Arial"/>
          <w:iCs/>
          <w:sz w:val="22"/>
          <w:szCs w:val="22"/>
        </w:rPr>
        <w:t xml:space="preserve">%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con respecto al mismo período de </w:t>
      </w:r>
      <w:r w:rsidR="00581B7E" w:rsidRPr="00CD1FD1">
        <w:rPr>
          <w:rFonts w:ascii="Museo Sans 300" w:hAnsi="Museo Sans 300" w:cs="Arial"/>
          <w:iCs/>
          <w:sz w:val="22"/>
          <w:szCs w:val="22"/>
        </w:rPr>
        <w:t>2021</w:t>
      </w:r>
      <w:r w:rsidR="00834B8F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. </w:t>
      </w:r>
      <w:r w:rsidRPr="00CD1FD1">
        <w:rPr>
          <w:rFonts w:ascii="Museo Sans 300" w:hAnsi="Museo Sans 300" w:cs="Arial"/>
          <w:iCs/>
          <w:sz w:val="22"/>
          <w:szCs w:val="22"/>
        </w:rPr>
        <w:t>La In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versión pública del SPNF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alcanzó un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valor de 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>111.4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millones,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m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419"/>
        </w:rPr>
        <w:t>ayor</w:t>
      </w:r>
      <w:r w:rsidR="008F7C42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en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$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>17.6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millones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con respecto </w:t>
      </w:r>
      <w:r w:rsidR="00C36287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mismo período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>el año anterior</w:t>
      </w:r>
      <w:r w:rsidR="00BF1E54" w:rsidRPr="00CD1FD1">
        <w:rPr>
          <w:rFonts w:ascii="Museo Sans 300" w:hAnsi="Museo Sans 300" w:cs="Arial"/>
          <w:iCs/>
          <w:sz w:val="22"/>
          <w:szCs w:val="22"/>
          <w:lang w:val="es-MX"/>
        </w:rPr>
        <w:t>.</w:t>
      </w:r>
      <w:r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5327AE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La inversión en términos del PIB </w:t>
      </w:r>
      <w:r w:rsidR="00705BCF" w:rsidRPr="00CD1FD1">
        <w:rPr>
          <w:rFonts w:ascii="Museo Sans 300" w:hAnsi="Museo Sans 300" w:cs="Arial"/>
          <w:iCs/>
          <w:sz w:val="22"/>
          <w:szCs w:val="22"/>
          <w:lang w:val="es-419"/>
        </w:rPr>
        <w:t>representó</w:t>
      </w:r>
      <w:r w:rsidR="005327AE" w:rsidRPr="00CD1FD1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 xml:space="preserve">un </w:t>
      </w:r>
      <w:r w:rsidR="007628C0" w:rsidRPr="00CD1FD1">
        <w:rPr>
          <w:rFonts w:ascii="Museo Sans 300" w:hAnsi="Museo Sans 300" w:cs="Arial"/>
          <w:iCs/>
          <w:sz w:val="22"/>
          <w:szCs w:val="22"/>
          <w:lang w:val="es-419"/>
        </w:rPr>
        <w:t>0.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419"/>
        </w:rPr>
        <w:t>4</w:t>
      </w:r>
      <w:r w:rsidRPr="00CD1FD1">
        <w:rPr>
          <w:rFonts w:ascii="Museo Sans 300" w:hAnsi="Museo Sans 300" w:cs="Arial"/>
          <w:iCs/>
          <w:sz w:val="22"/>
          <w:szCs w:val="22"/>
          <w:lang w:val="es-419"/>
        </w:rPr>
        <w:t>% del PIB.</w:t>
      </w:r>
      <w:r w:rsidR="007628C0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Para los próximos meses 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MX"/>
        </w:rPr>
        <w:t>del 202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="00774C28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7628C0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se tiene previsto </w:t>
      </w:r>
      <w:r w:rsidR="00961352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mayores porcentajes 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en la </w:t>
      </w:r>
      <w:r w:rsidR="007628C0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ejecución de inversiones </w:t>
      </w:r>
      <w:r w:rsidR="00961352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principalmente en 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proyectos </w:t>
      </w:r>
      <w:r w:rsidR="00DF6F97" w:rsidRPr="00CD1FD1">
        <w:rPr>
          <w:rFonts w:ascii="Museo Sans 300" w:hAnsi="Museo Sans 300" w:cs="Arial"/>
          <w:iCs/>
          <w:sz w:val="22"/>
          <w:szCs w:val="22"/>
          <w:lang w:val="es-MX"/>
        </w:rPr>
        <w:t>energéticos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 y </w:t>
      </w:r>
      <w:r w:rsidR="00DF6F97" w:rsidRPr="00CD1FD1">
        <w:rPr>
          <w:rFonts w:ascii="Museo Sans 300" w:hAnsi="Museo Sans 300" w:cs="Arial"/>
          <w:iCs/>
          <w:sz w:val="22"/>
          <w:szCs w:val="22"/>
          <w:lang w:val="es-MX"/>
        </w:rPr>
        <w:t xml:space="preserve">de </w:t>
      </w:r>
      <w:r w:rsidR="00F201A9" w:rsidRPr="00CD1FD1">
        <w:rPr>
          <w:rFonts w:ascii="Museo Sans 300" w:hAnsi="Museo Sans 300" w:cs="Arial"/>
          <w:iCs/>
          <w:sz w:val="22"/>
          <w:szCs w:val="22"/>
          <w:lang w:val="es-MX"/>
        </w:rPr>
        <w:t>conectividad vial, entre otros.</w:t>
      </w:r>
    </w:p>
    <w:p w:rsidR="007628C0" w:rsidRPr="00CD1FD1" w:rsidRDefault="007628C0" w:rsidP="00EC1B2B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:rsidR="005B3920" w:rsidRPr="00CD1FD1" w:rsidRDefault="005B3920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0B7219" w:rsidRDefault="000B7219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: Inversión </w:t>
      </w:r>
      <w:r w:rsidR="001D7D68" w:rsidRPr="00CD1FD1">
        <w:rPr>
          <w:rFonts w:ascii="Museo Sans 300" w:hAnsi="Museo Sans 300"/>
          <w:sz w:val="22"/>
          <w:szCs w:val="22"/>
          <w:lang w:val="es-MX"/>
        </w:rPr>
        <w:t>Pública a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20</w:t>
      </w:r>
      <w:r w:rsidR="00861E9B" w:rsidRPr="00CD1FD1">
        <w:rPr>
          <w:rFonts w:ascii="Museo Sans 300" w:hAnsi="Museo Sans 300"/>
          <w:sz w:val="22"/>
          <w:szCs w:val="22"/>
          <w:lang w:val="es-MX"/>
        </w:rPr>
        <w:t>14</w:t>
      </w:r>
      <w:r w:rsidRPr="00CD1FD1">
        <w:rPr>
          <w:rFonts w:ascii="Museo Sans 300" w:hAnsi="Museo Sans 300"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202</w:t>
      </w:r>
      <w:r w:rsidR="003D01C6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12688D" w:rsidRPr="00CD1FD1" w:rsidRDefault="0012688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3D01C6" w:rsidRPr="00987C7A" w:rsidRDefault="000A4F43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0A4F43">
        <w:rPr>
          <w:noProof/>
        </w:rPr>
        <w:drawing>
          <wp:inline distT="0" distB="0" distL="0" distR="0">
            <wp:extent cx="5611043" cy="3363087"/>
            <wp:effectExtent l="0" t="0" r="889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38" cy="33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AD" w:rsidRPr="00CD1FD1" w:rsidRDefault="003E7EA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201628" w:rsidRPr="00CD1FD1" w:rsidRDefault="00201628" w:rsidP="00080BF7">
      <w:pPr>
        <w:ind w:right="-32"/>
        <w:jc w:val="both"/>
        <w:rPr>
          <w:rFonts w:ascii="Museo Sans 300" w:hAnsi="Museo Sans 300" w:cs="Arial"/>
          <w:iCs/>
          <w:sz w:val="22"/>
          <w:szCs w:val="22"/>
        </w:rPr>
      </w:pPr>
    </w:p>
    <w:p w:rsidR="00080BF7" w:rsidRPr="00CD1FD1" w:rsidRDefault="00080BF7" w:rsidP="00080BF7">
      <w:pPr>
        <w:ind w:right="-32"/>
        <w:jc w:val="both"/>
        <w:rPr>
          <w:rFonts w:ascii="Museo Sans 300" w:hAnsi="Museo Sans 300" w:cs="Arial"/>
          <w:iCs/>
          <w:sz w:val="22"/>
          <w:szCs w:val="22"/>
        </w:rPr>
      </w:pPr>
      <w:r w:rsidRPr="00CD1FD1">
        <w:rPr>
          <w:rFonts w:ascii="Museo Sans 300" w:hAnsi="Museo Sans 300" w:cs="Arial"/>
          <w:iCs/>
          <w:sz w:val="22"/>
          <w:szCs w:val="22"/>
        </w:rPr>
        <w:t xml:space="preserve">A nivel de subsectores, el Gobierno Central Consolidado ejecutó el </w:t>
      </w:r>
      <w:r w:rsidR="004B4137" w:rsidRPr="00CD1FD1">
        <w:rPr>
          <w:rFonts w:ascii="Museo Sans 300" w:hAnsi="Museo Sans 300" w:cs="Arial"/>
          <w:iCs/>
          <w:sz w:val="22"/>
          <w:szCs w:val="22"/>
        </w:rPr>
        <w:t>76.5</w:t>
      </w:r>
      <w:r w:rsidRPr="00CD1FD1">
        <w:rPr>
          <w:rFonts w:ascii="Museo Sans 300" w:hAnsi="Museo Sans 300" w:cs="Arial"/>
          <w:iCs/>
          <w:sz w:val="22"/>
          <w:szCs w:val="22"/>
        </w:rPr>
        <w:t>% ($</w:t>
      </w:r>
      <w:r w:rsidR="00F201A9" w:rsidRPr="00CD1FD1">
        <w:rPr>
          <w:rFonts w:ascii="Museo Sans 300" w:hAnsi="Museo Sans 300" w:cs="Arial"/>
          <w:iCs/>
          <w:sz w:val="22"/>
          <w:szCs w:val="22"/>
        </w:rPr>
        <w:t>85.2</w:t>
      </w:r>
      <w:r w:rsidRPr="00CD1FD1">
        <w:rPr>
          <w:rFonts w:ascii="Museo Sans 300" w:hAnsi="Museo Sans 300" w:cs="Arial"/>
          <w:iCs/>
          <w:sz w:val="22"/>
          <w:szCs w:val="22"/>
        </w:rPr>
        <w:t xml:space="preserve"> millones) del total, el Resto del Gobierno General ejecutó un </w:t>
      </w:r>
      <w:r w:rsidR="00671714" w:rsidRPr="00CD1FD1">
        <w:rPr>
          <w:rFonts w:ascii="Museo Sans 300" w:hAnsi="Museo Sans 300" w:cs="Arial"/>
          <w:iCs/>
          <w:sz w:val="22"/>
          <w:szCs w:val="22"/>
        </w:rPr>
        <w:t>2.</w:t>
      </w:r>
      <w:r w:rsidR="004B4137" w:rsidRPr="00CD1FD1">
        <w:rPr>
          <w:rFonts w:ascii="Museo Sans 300" w:hAnsi="Museo Sans 300" w:cs="Arial"/>
          <w:iCs/>
          <w:sz w:val="22"/>
          <w:szCs w:val="22"/>
        </w:rPr>
        <w:t>3</w:t>
      </w:r>
      <w:r w:rsidRPr="00CD1FD1">
        <w:rPr>
          <w:rFonts w:ascii="Museo Sans 300" w:hAnsi="Museo Sans 300" w:cs="Arial"/>
          <w:iCs/>
          <w:sz w:val="22"/>
          <w:szCs w:val="22"/>
        </w:rPr>
        <w:t>% ($</w:t>
      </w:r>
      <w:r w:rsidR="00671714" w:rsidRPr="00CD1FD1">
        <w:rPr>
          <w:rFonts w:ascii="Museo Sans 300" w:hAnsi="Museo Sans 300" w:cs="Arial"/>
          <w:iCs/>
          <w:sz w:val="22"/>
          <w:szCs w:val="22"/>
        </w:rPr>
        <w:t>2.</w:t>
      </w:r>
      <w:r w:rsidR="00F201A9" w:rsidRPr="00CD1FD1">
        <w:rPr>
          <w:rFonts w:ascii="Museo Sans 300" w:hAnsi="Museo Sans 300" w:cs="Arial"/>
          <w:iCs/>
          <w:sz w:val="22"/>
          <w:szCs w:val="22"/>
        </w:rPr>
        <w:t>6</w:t>
      </w:r>
      <w:r w:rsidRPr="00CD1FD1">
        <w:rPr>
          <w:rFonts w:ascii="Museo Sans 300" w:hAnsi="Museo Sans 300" w:cs="Arial"/>
          <w:iCs/>
          <w:sz w:val="22"/>
          <w:szCs w:val="22"/>
        </w:rPr>
        <w:t xml:space="preserve"> millones) y las Empresas Públicas ejecutaron un </w:t>
      </w:r>
      <w:r w:rsidR="004B4137" w:rsidRPr="00CD1FD1">
        <w:rPr>
          <w:rFonts w:ascii="Museo Sans 300" w:hAnsi="Museo Sans 300" w:cs="Arial"/>
          <w:iCs/>
          <w:sz w:val="22"/>
          <w:szCs w:val="22"/>
        </w:rPr>
        <w:t>21.2</w:t>
      </w:r>
      <w:r w:rsidRPr="00CD1FD1">
        <w:rPr>
          <w:rFonts w:ascii="Museo Sans 300" w:hAnsi="Museo Sans 300" w:cs="Arial"/>
          <w:iCs/>
          <w:sz w:val="22"/>
          <w:szCs w:val="22"/>
        </w:rPr>
        <w:t>% ($</w:t>
      </w:r>
      <w:r w:rsidR="008B0B64" w:rsidRPr="00CD1FD1">
        <w:rPr>
          <w:rFonts w:ascii="Museo Sans 300" w:hAnsi="Museo Sans 300" w:cs="Arial"/>
          <w:iCs/>
          <w:sz w:val="22"/>
          <w:szCs w:val="22"/>
        </w:rPr>
        <w:t>2</w:t>
      </w:r>
      <w:r w:rsidR="004B4137" w:rsidRPr="00CD1FD1">
        <w:rPr>
          <w:rFonts w:ascii="Museo Sans 300" w:hAnsi="Museo Sans 300" w:cs="Arial"/>
          <w:iCs/>
          <w:sz w:val="22"/>
          <w:szCs w:val="22"/>
        </w:rPr>
        <w:t>3.6</w:t>
      </w:r>
      <w:r w:rsidRPr="00CD1FD1">
        <w:rPr>
          <w:rFonts w:ascii="Museo Sans 300" w:hAnsi="Museo Sans 300" w:cs="Arial"/>
          <w:iCs/>
          <w:sz w:val="22"/>
          <w:szCs w:val="22"/>
        </w:rPr>
        <w:t xml:space="preserve"> millones) del total</w:t>
      </w:r>
      <w:r w:rsidR="00404593" w:rsidRPr="00CD1FD1">
        <w:rPr>
          <w:rFonts w:ascii="Museo Sans 300" w:hAnsi="Museo Sans 300" w:cs="Arial"/>
          <w:iCs/>
          <w:sz w:val="22"/>
          <w:szCs w:val="22"/>
        </w:rPr>
        <w:t xml:space="preserve"> (ver anexo 4).</w:t>
      </w:r>
    </w:p>
    <w:p w:rsidR="00080BF7" w:rsidRPr="00CD1FD1" w:rsidRDefault="00080BF7" w:rsidP="00AB5AA8">
      <w:pPr>
        <w:jc w:val="both"/>
        <w:rPr>
          <w:rFonts w:ascii="Museo Sans 300" w:hAnsi="Museo Sans 300"/>
          <w:sz w:val="22"/>
          <w:szCs w:val="22"/>
        </w:rPr>
      </w:pPr>
    </w:p>
    <w:p w:rsidR="00AB5AA8" w:rsidRPr="00CD1FD1" w:rsidRDefault="00AB5AA8" w:rsidP="00AB5AA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Por sectores de actividad, la inversión en el sector Desarrollo </w:t>
      </w:r>
      <w:r w:rsidR="001D7D68" w:rsidRPr="00CD1FD1">
        <w:rPr>
          <w:rFonts w:ascii="Museo Sans 300" w:hAnsi="Museo Sans 300"/>
          <w:sz w:val="22"/>
          <w:szCs w:val="22"/>
          <w:lang w:val="es-MX"/>
        </w:rPr>
        <w:t xml:space="preserve">Económico </w:t>
      </w:r>
      <w:r w:rsidRPr="00CD1FD1">
        <w:rPr>
          <w:rFonts w:ascii="Museo Sans 300" w:hAnsi="Museo Sans 300"/>
          <w:sz w:val="22"/>
          <w:szCs w:val="22"/>
          <w:lang w:val="es-MX"/>
        </w:rPr>
        <w:t>se ejecutó un total de $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45.4</w:t>
      </w:r>
      <w:r w:rsidR="00AB3647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millones, con una participación de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40.8</w:t>
      </w:r>
      <w:r w:rsidRPr="00CD1FD1">
        <w:rPr>
          <w:rFonts w:ascii="Museo Sans 300" w:hAnsi="Museo Sans 300"/>
          <w:sz w:val="22"/>
          <w:szCs w:val="22"/>
          <w:lang w:val="es-MX"/>
        </w:rPr>
        <w:t>% de la inversión total, destacando los recursos destinados al subsector de Transporte y Almacenaje ($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>2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0.4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 xml:space="preserve"> con una participación del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18.3</w:t>
      </w:r>
      <w:r w:rsidR="000B7219" w:rsidRPr="00CD1FD1">
        <w:rPr>
          <w:rFonts w:ascii="Museo Sans 300" w:hAnsi="Museo Sans 300"/>
          <w:sz w:val="22"/>
          <w:szCs w:val="22"/>
          <w:lang w:val="es-MX"/>
        </w:rPr>
        <w:t>%</w:t>
      </w:r>
      <w:r w:rsidRPr="00CD1FD1">
        <w:rPr>
          <w:rFonts w:ascii="Museo Sans 300" w:hAnsi="Museo Sans 300"/>
          <w:sz w:val="22"/>
          <w:szCs w:val="22"/>
          <w:lang w:val="es-MX"/>
        </w:rPr>
        <w:t>)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 y el sector de energía</w:t>
      </w:r>
      <w:r w:rsidR="00FB353F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>($2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0.8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 millones con una participación del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18.7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%)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entre otros, tal como se muestra en la tabla No. 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>4</w:t>
      </w:r>
      <w:r w:rsidRPr="00CD1FD1">
        <w:rPr>
          <w:rFonts w:ascii="Museo Sans 300" w:hAnsi="Museo Sans 300"/>
          <w:sz w:val="22"/>
          <w:szCs w:val="22"/>
          <w:lang w:val="es-MX"/>
        </w:rPr>
        <w:t>.</w:t>
      </w:r>
    </w:p>
    <w:p w:rsidR="00E52CBD" w:rsidRPr="00CD1FD1" w:rsidRDefault="00E52CB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31F0C" w:rsidRPr="00CD1FD1" w:rsidRDefault="005327AE" w:rsidP="00231F0C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Asimismo, la inversión para el Desarrollo Social ascendió a $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57.8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con una participación del</w:t>
      </w:r>
      <w:r w:rsidR="008B0B6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51.9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en la inversión total, destacándose las obras 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salud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, 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>con $</w:t>
      </w:r>
      <w:r w:rsidR="004B4137" w:rsidRPr="00CD1FD1">
        <w:rPr>
          <w:rFonts w:ascii="Museo Sans 300" w:hAnsi="Museo Sans 300"/>
          <w:sz w:val="22"/>
          <w:szCs w:val="22"/>
          <w:lang w:val="es-MX"/>
        </w:rPr>
        <w:t>20.3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 xml:space="preserve"> millones con una participación de 1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8.2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>%</w:t>
      </w:r>
      <w:r w:rsidR="00A41536" w:rsidRPr="00CD1FD1">
        <w:rPr>
          <w:rFonts w:ascii="Museo Sans 300" w:hAnsi="Museo Sans 300"/>
          <w:sz w:val="22"/>
          <w:szCs w:val="22"/>
          <w:lang w:val="es-MX"/>
        </w:rPr>
        <w:t xml:space="preserve"> del total</w:t>
      </w:r>
      <w:r w:rsidR="00C67E88" w:rsidRPr="00CD1FD1">
        <w:rPr>
          <w:rFonts w:ascii="Museo Sans 300" w:hAnsi="Museo Sans 300"/>
          <w:sz w:val="22"/>
          <w:szCs w:val="22"/>
          <w:lang w:val="es-MX"/>
        </w:rPr>
        <w:t>,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 xml:space="preserve"> y Agua Potable y Alcantarillado con $16.7 millones que participó con 15.0%,</w:t>
      </w:r>
      <w:r w:rsidR="008172C2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entre otros.</w:t>
      </w:r>
      <w:r w:rsidR="00D912E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746985" w:rsidRPr="00CD1FD1" w:rsidRDefault="00746985" w:rsidP="00231F0C">
      <w:pPr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Tabla </w:t>
      </w:r>
      <w:r w:rsidR="006B57E8"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: Inversión </w:t>
      </w:r>
      <w:r w:rsidR="00E6182C" w:rsidRPr="00CD1FD1">
        <w:rPr>
          <w:rFonts w:ascii="Museo Sans 300" w:hAnsi="Museo Sans 300"/>
          <w:b/>
          <w:sz w:val="22"/>
          <w:szCs w:val="22"/>
          <w:lang w:val="es-MX"/>
        </w:rPr>
        <w:t>P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ública por </w:t>
      </w:r>
      <w:r w:rsidR="00E6182C" w:rsidRPr="00CD1FD1">
        <w:rPr>
          <w:rFonts w:ascii="Museo Sans 300" w:hAnsi="Museo Sans 300"/>
          <w:b/>
          <w:sz w:val="22"/>
          <w:szCs w:val="22"/>
          <w:lang w:val="es-MX"/>
        </w:rPr>
        <w:t>S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ectores de </w:t>
      </w:r>
      <w:r w:rsidR="00E6182C" w:rsidRPr="00CD1FD1">
        <w:rPr>
          <w:rFonts w:ascii="Museo Sans 300" w:hAnsi="Museo Sans 300"/>
          <w:b/>
          <w:sz w:val="22"/>
          <w:szCs w:val="22"/>
          <w:lang w:val="es-MX"/>
        </w:rPr>
        <w:t>A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ctividad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>a marzo 2022</w:t>
      </w:r>
    </w:p>
    <w:p w:rsidR="00746985" w:rsidRPr="00CD1FD1" w:rsidRDefault="00746985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(En millones de $ y % de Participación)</w:t>
      </w:r>
    </w:p>
    <w:p w:rsidR="005327AE" w:rsidRPr="00CD1FD1" w:rsidRDefault="005327AE" w:rsidP="0074698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7D580D" w:rsidRPr="00CD1FD1" w:rsidRDefault="004B4137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>
            <wp:extent cx="5347212" cy="4557600"/>
            <wp:effectExtent l="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56" cy="456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85" w:rsidRPr="00CD1FD1" w:rsidRDefault="00746985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AB5AA8" w:rsidRPr="00CD1FD1" w:rsidRDefault="00AB5AA8" w:rsidP="00726D9A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43" w:name="_Toc308681668"/>
    </w:p>
    <w:p w:rsidR="00886FAC" w:rsidRPr="00CD1FD1" w:rsidRDefault="00886FAC" w:rsidP="00886FAC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Entre los programas y proyectos con mayores avances al mes de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se destacan los siguientes:</w:t>
      </w:r>
    </w:p>
    <w:p w:rsidR="00886FAC" w:rsidRPr="008A6373" w:rsidRDefault="00886FAC" w:rsidP="00886FAC">
      <w:pPr>
        <w:jc w:val="both"/>
        <w:rPr>
          <w:rFonts w:ascii="Museo Sans 300" w:hAnsi="Museo Sans 300"/>
          <w:sz w:val="22"/>
          <w:szCs w:val="22"/>
          <w:highlight w:val="yellow"/>
          <w:lang w:val="es-MX"/>
        </w:rPr>
      </w:pPr>
    </w:p>
    <w:p w:rsidR="00533421" w:rsidRPr="008A6373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8A6373">
        <w:rPr>
          <w:rFonts w:ascii="Museo Sans 300" w:hAnsi="Museo Sans 300"/>
          <w:sz w:val="22"/>
          <w:szCs w:val="22"/>
          <w:lang w:val="es-MX"/>
        </w:rPr>
        <w:t>CEL:</w:t>
      </w:r>
      <w:r w:rsidR="00EF0392" w:rsidRPr="008A6373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EF0392" w:rsidRPr="008A6373">
        <w:rPr>
          <w:rFonts w:ascii="Museo Sans 300" w:hAnsi="Museo Sans 300"/>
          <w:sz w:val="22"/>
          <w:szCs w:val="22"/>
          <w:lang w:val="es-MX"/>
        </w:rPr>
        <w:t xml:space="preserve">Central Hidroeléctrica 3 de </w:t>
      </w:r>
      <w:proofErr w:type="gramStart"/>
      <w:r w:rsidR="00EF0392" w:rsidRPr="008A6373">
        <w:rPr>
          <w:rFonts w:ascii="Museo Sans 300" w:hAnsi="Museo Sans 300"/>
          <w:sz w:val="22"/>
          <w:szCs w:val="22"/>
          <w:lang w:val="es-MX"/>
        </w:rPr>
        <w:t>Febrero</w:t>
      </w:r>
      <w:proofErr w:type="gramEnd"/>
      <w:r w:rsidR="00EF0392" w:rsidRPr="008A6373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CEPA: Ampliación del Patio de Contenedores del Puerto de Acajutla, Etapa II, Ampliación de Terminal de Pasajeros del Aeropuerto Internacional de El Salvador, Monseñor Oscar Arnulfo Romero y Galdámez.</w:t>
      </w: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MINSAL: Programa de Respuesta de El Salvador ante el COVID-19, Programa Integrado de Salud II, Mejoramiento de Infraestructura y equipamiento de Unidades de Salud de Primer Nivel, a nivel nacional</w:t>
      </w:r>
      <w:r w:rsidR="00340B9B" w:rsidRPr="00CD1FD1">
        <w:rPr>
          <w:rFonts w:ascii="Museo Sans 300" w:hAnsi="Museo Sans 300"/>
          <w:sz w:val="22"/>
          <w:szCs w:val="22"/>
          <w:lang w:val="es-MX"/>
        </w:rPr>
        <w:t>; Mejoramiento de infraestructura y equipamiento de la Red Nacional de Hospitales</w:t>
      </w:r>
      <w:r w:rsidRPr="00CD1FD1">
        <w:rPr>
          <w:rFonts w:ascii="Museo Sans 300" w:hAnsi="Museo Sans 300"/>
          <w:sz w:val="22"/>
          <w:szCs w:val="22"/>
          <w:lang w:val="es-MX"/>
        </w:rPr>
        <w:t>.</w:t>
      </w: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ANDA: Rehabilitación de las Obras de captación, potabilización y electromecánicas de la planta potabilizadora Las Pavas, Municipio de San Pablo Tacachico, Departamento de La Libertad, </w:t>
      </w:r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 xml:space="preserve">Programa de mejora de infraestructura y servicios, para optimizar el suministro de agua potable, a nivel nacional. </w:t>
      </w: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33421" w:rsidRPr="00CD1FD1" w:rsidRDefault="00533421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MINEDUCYT: Programa de mejoramiento de ambientes educativos para la formación integral y aprendizajes, a nivel nacional, Programa de equipamiento y capacitación docente en tecnología e innovación al servicio de los aprendizajes, a nivel nacional</w:t>
      </w:r>
      <w:r w:rsidR="00340B9B" w:rsidRPr="00CD1FD1">
        <w:rPr>
          <w:rFonts w:ascii="Museo Sans 300" w:hAnsi="Museo Sans 300"/>
          <w:sz w:val="22"/>
          <w:szCs w:val="22"/>
          <w:lang w:val="es-MX"/>
        </w:rPr>
        <w:t>; Programa de reducción de Brecha Digital en Centros Escolares de El Salvador, Programa de Becas FANTEL a nivel nacional, para realizar estudios de educación superior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. </w:t>
      </w:r>
    </w:p>
    <w:p w:rsidR="00DA1707" w:rsidRPr="00CD1FD1" w:rsidRDefault="00DA1707" w:rsidP="0053342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340B9B" w:rsidRDefault="00340B9B" w:rsidP="00533421">
      <w:pPr>
        <w:jc w:val="both"/>
        <w:rPr>
          <w:rFonts w:ascii="Museo Sans 300" w:hAnsi="Museo Sans 300"/>
          <w:sz w:val="22"/>
          <w:szCs w:val="22"/>
          <w:lang w:val="es-SV"/>
        </w:rPr>
      </w:pPr>
      <w:r w:rsidRPr="00CD1FD1">
        <w:rPr>
          <w:rFonts w:ascii="Museo Sans 300" w:hAnsi="Museo Sans 300"/>
          <w:sz w:val="22"/>
          <w:szCs w:val="22"/>
          <w:lang w:val="es-SV"/>
        </w:rPr>
        <w:t xml:space="preserve">MOPT: </w:t>
      </w:r>
      <w:r w:rsidR="00DA1707" w:rsidRPr="00CD1FD1">
        <w:rPr>
          <w:rFonts w:ascii="Museo Sans 300" w:hAnsi="Museo Sans 300"/>
          <w:sz w:val="22"/>
          <w:szCs w:val="22"/>
          <w:lang w:val="es-SV"/>
        </w:rPr>
        <w:t>Construcción</w:t>
      </w:r>
      <w:r w:rsidRPr="00CD1FD1">
        <w:rPr>
          <w:rFonts w:ascii="Museo Sans 300" w:hAnsi="Museo Sans 300"/>
          <w:sz w:val="22"/>
          <w:szCs w:val="22"/>
          <w:lang w:val="es-SV"/>
        </w:rPr>
        <w:t xml:space="preserve"> de By Pass </w:t>
      </w:r>
      <w:r w:rsidR="00DA1707" w:rsidRPr="00CD1FD1">
        <w:rPr>
          <w:rFonts w:ascii="Museo Sans 300" w:hAnsi="Museo Sans 300"/>
          <w:sz w:val="22"/>
          <w:szCs w:val="22"/>
          <w:lang w:val="es-SV"/>
        </w:rPr>
        <w:t>e</w:t>
      </w:r>
      <w:r w:rsidRPr="00CD1FD1">
        <w:rPr>
          <w:rFonts w:ascii="Museo Sans 300" w:hAnsi="Museo Sans 300"/>
          <w:sz w:val="22"/>
          <w:szCs w:val="22"/>
          <w:lang w:val="es-SV"/>
        </w:rPr>
        <w:t>n l</w:t>
      </w:r>
      <w:r w:rsidR="00DA1707" w:rsidRPr="00CD1FD1">
        <w:rPr>
          <w:rFonts w:ascii="Museo Sans 300" w:hAnsi="Museo Sans 300"/>
          <w:sz w:val="22"/>
          <w:szCs w:val="22"/>
          <w:lang w:val="es-SV"/>
        </w:rPr>
        <w:t>a Ciudad</w:t>
      </w:r>
      <w:r w:rsidRPr="00CD1FD1">
        <w:rPr>
          <w:rFonts w:ascii="Museo Sans 300" w:hAnsi="Museo Sans 300"/>
          <w:sz w:val="22"/>
          <w:szCs w:val="22"/>
          <w:lang w:val="es-SV"/>
        </w:rPr>
        <w:t xml:space="preserve"> de San Miguel, Modernización del puesto f</w:t>
      </w:r>
      <w:r w:rsidR="00DA1707" w:rsidRPr="00CD1FD1">
        <w:rPr>
          <w:rFonts w:ascii="Museo Sans 300" w:hAnsi="Museo Sans 300"/>
          <w:sz w:val="22"/>
          <w:szCs w:val="22"/>
          <w:lang w:val="es-SV"/>
        </w:rPr>
        <w:t>r</w:t>
      </w:r>
      <w:r w:rsidRPr="00CD1FD1">
        <w:rPr>
          <w:rFonts w:ascii="Museo Sans 300" w:hAnsi="Museo Sans 300"/>
          <w:sz w:val="22"/>
          <w:szCs w:val="22"/>
          <w:lang w:val="es-SV"/>
        </w:rPr>
        <w:t xml:space="preserve">onterizo de </w:t>
      </w:r>
      <w:r w:rsidR="00DA1707" w:rsidRPr="00CD1FD1">
        <w:rPr>
          <w:rFonts w:ascii="Museo Sans 300" w:hAnsi="Museo Sans 300"/>
          <w:sz w:val="22"/>
          <w:szCs w:val="22"/>
          <w:lang w:val="es-SV"/>
        </w:rPr>
        <w:t>Anguiatú, Municipio de Metapán, Dpto. Santa Ana, entre otros.</w:t>
      </w:r>
    </w:p>
    <w:p w:rsidR="0049611D" w:rsidRPr="00CD1FD1" w:rsidRDefault="0049611D" w:rsidP="00533421">
      <w:pPr>
        <w:jc w:val="both"/>
        <w:rPr>
          <w:rFonts w:ascii="Museo Sans 300" w:hAnsi="Museo Sans 300"/>
          <w:sz w:val="22"/>
          <w:szCs w:val="22"/>
          <w:lang w:val="es-SV"/>
        </w:rPr>
      </w:pPr>
    </w:p>
    <w:p w:rsidR="00533421" w:rsidRPr="0012688D" w:rsidRDefault="00533421" w:rsidP="00533421">
      <w:pPr>
        <w:pStyle w:val="BodyText2"/>
        <w:spacing w:after="0" w:line="240" w:lineRule="auto"/>
        <w:ind w:right="-32"/>
        <w:jc w:val="both"/>
        <w:rPr>
          <w:rFonts w:ascii="Museo Sans 300" w:hAnsi="Museo Sans 300"/>
          <w:sz w:val="16"/>
          <w:szCs w:val="16"/>
          <w:lang w:val="es-SV"/>
        </w:rPr>
      </w:pPr>
    </w:p>
    <w:p w:rsidR="00121393" w:rsidRPr="00CD1FD1" w:rsidRDefault="00AA7D08" w:rsidP="00033BDB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44" w:name="_Toc505951457"/>
      <w:bookmarkStart w:id="45" w:name="_Toc56581213"/>
      <w:bookmarkStart w:id="46" w:name="_Toc72330652"/>
      <w:r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>Deuda del SPNF</w:t>
      </w:r>
      <w:bookmarkEnd w:id="44"/>
      <w:bookmarkEnd w:id="45"/>
      <w:r w:rsidR="00121393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404593" w:rsidRPr="00CD1FD1">
        <w:rPr>
          <w:rFonts w:ascii="Museo Sans 300" w:hAnsi="Museo Sans 300"/>
          <w:b/>
          <w:sz w:val="22"/>
          <w:szCs w:val="22"/>
          <w:lang w:val="es-MX"/>
        </w:rPr>
        <w:t>(ver anexo 5)</w:t>
      </w:r>
      <w:bookmarkEnd w:id="46"/>
    </w:p>
    <w:p w:rsidR="00442DE5" w:rsidRPr="0012688D" w:rsidRDefault="00442DE5" w:rsidP="00442DE5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:rsidR="00092055" w:rsidRPr="00CD1FD1" w:rsidRDefault="0009205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La deuda del SPNF sin incluir pensiones al mes de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="0006124F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</w:t>
      </w:r>
      <w:r w:rsidR="00420EE2" w:rsidRPr="00CD1FD1">
        <w:rPr>
          <w:rFonts w:ascii="Museo Sans 300" w:hAnsi="Museo Sans 300"/>
          <w:sz w:val="22"/>
          <w:szCs w:val="22"/>
          <w:lang w:val="es-MX"/>
        </w:rPr>
        <w:t>2</w:t>
      </w:r>
      <w:r w:rsidR="002C3B4A" w:rsidRPr="00CD1FD1">
        <w:rPr>
          <w:rFonts w:ascii="Museo Sans 300" w:hAnsi="Museo Sans 300"/>
          <w:sz w:val="22"/>
          <w:szCs w:val="22"/>
          <w:lang w:val="es-MX"/>
        </w:rPr>
        <w:t>1</w:t>
      </w:r>
      <w:r w:rsidR="0006124F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ascendió a $</w:t>
      </w:r>
      <w:r w:rsidR="00EE128F" w:rsidRPr="00CD1FD1">
        <w:rPr>
          <w:rFonts w:ascii="Museo Sans 300" w:hAnsi="Museo Sans 300"/>
          <w:sz w:val="22"/>
          <w:szCs w:val="22"/>
          <w:lang w:val="es-MX"/>
        </w:rPr>
        <w:t>1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7,643.1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equivalentes a 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58.0</w:t>
      </w:r>
      <w:r w:rsidR="00EE128F" w:rsidRPr="00CD1FD1">
        <w:rPr>
          <w:rFonts w:ascii="Museo Sans 300" w:hAnsi="Museo Sans 300"/>
          <w:sz w:val="22"/>
          <w:szCs w:val="22"/>
          <w:lang w:val="es-MX"/>
        </w:rPr>
        <w:t>%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del PIB. Dicho saldo está compuesto por $</w:t>
      </w:r>
      <w:r w:rsidR="00634117" w:rsidRPr="00CD1FD1">
        <w:rPr>
          <w:rFonts w:ascii="Museo Sans 300" w:hAnsi="Museo Sans 300"/>
          <w:sz w:val="22"/>
          <w:szCs w:val="22"/>
          <w:lang w:val="es-MX"/>
        </w:rPr>
        <w:t>1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1,481.2</w:t>
      </w:r>
      <w:r w:rsidR="00600F2E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millones que corresponden a deuda externa, equivale</w:t>
      </w:r>
      <w:r w:rsidR="002A147C" w:rsidRPr="00CD1FD1">
        <w:rPr>
          <w:rFonts w:ascii="Museo Sans 300" w:hAnsi="Museo Sans 300"/>
          <w:sz w:val="22"/>
          <w:szCs w:val="22"/>
          <w:lang w:val="es-MX"/>
        </w:rPr>
        <w:t>nte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a 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37.7</w:t>
      </w:r>
      <w:r w:rsidRPr="00CD1FD1">
        <w:rPr>
          <w:rFonts w:ascii="Museo Sans 300" w:hAnsi="Museo Sans 300"/>
          <w:sz w:val="22"/>
          <w:szCs w:val="22"/>
          <w:lang w:val="es-MX"/>
        </w:rPr>
        <w:t>% del PIB y $</w:t>
      </w:r>
      <w:r w:rsidR="008758FC" w:rsidRPr="00CD1FD1">
        <w:rPr>
          <w:rFonts w:ascii="Museo Sans 300" w:hAnsi="Museo Sans 300"/>
          <w:sz w:val="22"/>
          <w:szCs w:val="22"/>
          <w:lang w:val="es-MX"/>
        </w:rPr>
        <w:t>6,161.9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correspondientes a deuda interna, representando el </w:t>
      </w:r>
      <w:r w:rsidR="00634117" w:rsidRPr="00CD1FD1">
        <w:rPr>
          <w:rFonts w:ascii="Museo Sans 300" w:hAnsi="Museo Sans 300"/>
          <w:sz w:val="22"/>
          <w:szCs w:val="22"/>
          <w:lang w:val="es-MX"/>
        </w:rPr>
        <w:t>2</w:t>
      </w:r>
      <w:r w:rsidR="001E1FEB" w:rsidRPr="00CD1FD1">
        <w:rPr>
          <w:rFonts w:ascii="Museo Sans 300" w:hAnsi="Museo Sans 300"/>
          <w:sz w:val="22"/>
          <w:szCs w:val="22"/>
          <w:lang w:val="es-MX"/>
        </w:rPr>
        <w:t>0.2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del PIB, dentro del cual </w:t>
      </w:r>
      <w:r w:rsidR="00855AEE" w:rsidRPr="00CD1FD1">
        <w:rPr>
          <w:rFonts w:ascii="Museo Sans 300" w:hAnsi="Museo Sans 300"/>
          <w:sz w:val="22"/>
          <w:szCs w:val="22"/>
          <w:lang w:val="es-MX"/>
        </w:rPr>
        <w:t>se d</w:t>
      </w:r>
      <w:r w:rsidR="004B1AD2" w:rsidRPr="00CD1FD1">
        <w:rPr>
          <w:rFonts w:ascii="Museo Sans 300" w:hAnsi="Museo Sans 300"/>
          <w:sz w:val="22"/>
          <w:szCs w:val="22"/>
          <w:lang w:val="es-MX"/>
        </w:rPr>
        <w:t>e</w:t>
      </w:r>
      <w:r w:rsidR="00855AEE" w:rsidRPr="00CD1FD1">
        <w:rPr>
          <w:rFonts w:ascii="Museo Sans 300" w:hAnsi="Museo Sans 300"/>
          <w:sz w:val="22"/>
          <w:szCs w:val="22"/>
          <w:lang w:val="es-MX"/>
        </w:rPr>
        <w:t xml:space="preserve">staca </w:t>
      </w:r>
      <w:r w:rsidRPr="00CD1FD1">
        <w:rPr>
          <w:rFonts w:ascii="Museo Sans 300" w:hAnsi="Museo Sans 300"/>
          <w:sz w:val="22"/>
          <w:szCs w:val="22"/>
          <w:lang w:val="es-MX"/>
        </w:rPr>
        <w:t>$</w:t>
      </w:r>
      <w:r w:rsidR="00BC0CDC" w:rsidRPr="00CD1FD1">
        <w:rPr>
          <w:rFonts w:ascii="Museo Sans 300" w:hAnsi="Museo Sans 300"/>
          <w:sz w:val="22"/>
          <w:szCs w:val="22"/>
          <w:lang w:val="es-MX"/>
        </w:rPr>
        <w:t>1,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112.6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</w:t>
      </w:r>
      <w:r w:rsidR="00855AEE" w:rsidRPr="00CD1FD1">
        <w:rPr>
          <w:rFonts w:ascii="Museo Sans 300" w:hAnsi="Museo Sans 300"/>
          <w:sz w:val="22"/>
          <w:szCs w:val="22"/>
          <w:lang w:val="es-MX"/>
        </w:rPr>
        <w:t xml:space="preserve">que </w:t>
      </w:r>
      <w:r w:rsidRPr="00CD1FD1">
        <w:rPr>
          <w:rFonts w:ascii="Museo Sans 300" w:hAnsi="Museo Sans 300"/>
          <w:sz w:val="22"/>
          <w:szCs w:val="22"/>
          <w:lang w:val="es-MX"/>
        </w:rPr>
        <w:t>corresponden a LETES</w:t>
      </w:r>
      <w:r w:rsidR="007C366D" w:rsidRPr="00CD1FD1">
        <w:rPr>
          <w:rFonts w:ascii="Museo Sans 300" w:hAnsi="Museo Sans 300"/>
          <w:sz w:val="22"/>
          <w:szCs w:val="22"/>
          <w:lang w:val="es-MX"/>
        </w:rPr>
        <w:t xml:space="preserve">, que representa 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3.7</w:t>
      </w:r>
      <w:r w:rsidR="007C366D" w:rsidRPr="00CD1FD1">
        <w:rPr>
          <w:rFonts w:ascii="Museo Sans 300" w:hAnsi="Museo Sans 300"/>
          <w:sz w:val="22"/>
          <w:szCs w:val="22"/>
          <w:lang w:val="es-MX"/>
        </w:rPr>
        <w:t>% del PIB</w:t>
      </w:r>
      <w:r w:rsidR="00203AF4" w:rsidRPr="00CD1FD1">
        <w:rPr>
          <w:rFonts w:ascii="Museo Sans 300" w:hAnsi="Museo Sans 300"/>
          <w:sz w:val="22"/>
          <w:szCs w:val="22"/>
          <w:lang w:val="es-MX"/>
        </w:rPr>
        <w:t xml:space="preserve"> y $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1,304.8</w:t>
      </w:r>
      <w:r w:rsidR="00203AF4" w:rsidRPr="00CD1FD1">
        <w:rPr>
          <w:rFonts w:ascii="Museo Sans 300" w:hAnsi="Museo Sans 300"/>
          <w:sz w:val="22"/>
          <w:szCs w:val="22"/>
          <w:lang w:val="es-MX"/>
        </w:rPr>
        <w:t xml:space="preserve"> millones a CETES</w:t>
      </w:r>
      <w:r w:rsidR="00A41536" w:rsidRPr="00CD1FD1">
        <w:rPr>
          <w:rFonts w:ascii="Museo Sans 300" w:hAnsi="Museo Sans 300"/>
          <w:sz w:val="22"/>
          <w:szCs w:val="22"/>
          <w:lang w:val="es-MX"/>
        </w:rPr>
        <w:t>, entre otros</w:t>
      </w:r>
      <w:r w:rsidRPr="00CD1FD1">
        <w:rPr>
          <w:rFonts w:ascii="Museo Sans 300" w:hAnsi="Museo Sans 300"/>
          <w:sz w:val="22"/>
          <w:szCs w:val="22"/>
          <w:lang w:val="es-MX"/>
        </w:rPr>
        <w:t>.</w:t>
      </w:r>
    </w:p>
    <w:p w:rsidR="00092055" w:rsidRPr="00CD1FD1" w:rsidRDefault="0009205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13B06" w:rsidRPr="00CD1FD1" w:rsidRDefault="006D364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 Al incluir las emisiones del FOP (CIP serie A), por $</w:t>
      </w:r>
      <w:r w:rsidR="00BF1AE8" w:rsidRPr="00CD1FD1">
        <w:rPr>
          <w:rFonts w:ascii="Museo Sans 300" w:hAnsi="Museo Sans 300"/>
          <w:sz w:val="22"/>
          <w:szCs w:val="22"/>
          <w:lang w:val="es-MX"/>
        </w:rPr>
        <w:t>5</w:t>
      </w:r>
      <w:r w:rsidR="00600F2E" w:rsidRPr="00CD1FD1">
        <w:rPr>
          <w:rFonts w:ascii="Museo Sans 300" w:hAnsi="Museo Sans 300"/>
          <w:sz w:val="22"/>
          <w:szCs w:val="22"/>
          <w:lang w:val="es-MX"/>
        </w:rPr>
        <w:t>,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880.3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</w:t>
      </w:r>
      <w:r w:rsidR="00092055" w:rsidRPr="00CD1FD1">
        <w:rPr>
          <w:rFonts w:ascii="Museo Sans 300" w:hAnsi="Museo Sans 300"/>
          <w:sz w:val="22"/>
          <w:szCs w:val="22"/>
          <w:lang w:val="es-MX"/>
        </w:rPr>
        <w:t xml:space="preserve">el cual representa un 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19.3</w:t>
      </w:r>
      <w:r w:rsidR="00092055" w:rsidRPr="00CD1FD1">
        <w:rPr>
          <w:rFonts w:ascii="Museo Sans 300" w:hAnsi="Museo Sans 300"/>
          <w:sz w:val="22"/>
          <w:szCs w:val="22"/>
          <w:lang w:val="es-MX"/>
        </w:rPr>
        <w:t xml:space="preserve">% del PIB, </w:t>
      </w:r>
      <w:r w:rsidRPr="00CD1FD1">
        <w:rPr>
          <w:rFonts w:ascii="Museo Sans 300" w:hAnsi="Museo Sans 300"/>
          <w:sz w:val="22"/>
          <w:szCs w:val="22"/>
          <w:lang w:val="es-MX"/>
        </w:rPr>
        <w:t>la deuda ascendió a $</w:t>
      </w:r>
      <w:r w:rsidR="00BF1AE8" w:rsidRPr="00CD1FD1">
        <w:rPr>
          <w:rFonts w:ascii="Museo Sans 300" w:hAnsi="Museo Sans 300"/>
          <w:sz w:val="22"/>
          <w:szCs w:val="22"/>
          <w:lang w:val="es-MX"/>
        </w:rPr>
        <w:t>2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3,523.4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con un aumento de $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1,557.9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(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7.1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%) respecto al saldo registrado en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BE517D" w:rsidRPr="00CD1FD1">
        <w:rPr>
          <w:rFonts w:ascii="Museo Sans 300" w:hAnsi="Museo Sans 300"/>
          <w:sz w:val="22"/>
          <w:szCs w:val="22"/>
          <w:lang w:val="es-MX"/>
        </w:rPr>
        <w:t>, asociado al impacto de la Pandemia COVID-19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. En términos del PIB, la deuda llegó al 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77.3</w:t>
      </w:r>
      <w:r w:rsidR="00781123" w:rsidRPr="00CD1FD1">
        <w:rPr>
          <w:rFonts w:ascii="Museo Sans 300" w:hAnsi="Museo Sans 300"/>
          <w:sz w:val="22"/>
          <w:szCs w:val="22"/>
          <w:lang w:val="es-MX"/>
        </w:rPr>
        <w:t>%,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saldo </w:t>
      </w:r>
      <w:r w:rsidR="001C7F84" w:rsidRPr="00CD1FD1">
        <w:rPr>
          <w:rFonts w:ascii="Museo Sans 300" w:hAnsi="Museo Sans 300"/>
          <w:sz w:val="22"/>
          <w:szCs w:val="22"/>
          <w:lang w:val="es-MX"/>
        </w:rPr>
        <w:t>s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 xml:space="preserve">uperior en 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0.9</w:t>
      </w:r>
      <w:r w:rsidR="00BC0CD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>punto</w:t>
      </w:r>
      <w:r w:rsidR="00BC0CDC" w:rsidRPr="00CD1FD1">
        <w:rPr>
          <w:rFonts w:ascii="Museo Sans 300" w:hAnsi="Museo Sans 300"/>
          <w:sz w:val="22"/>
          <w:szCs w:val="22"/>
          <w:lang w:val="es-MX"/>
        </w:rPr>
        <w:t>s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 xml:space="preserve"> porcentual</w:t>
      </w:r>
      <w:r w:rsidR="00BF1AE8" w:rsidRPr="00CD1FD1">
        <w:rPr>
          <w:rFonts w:ascii="Museo Sans 300" w:hAnsi="Museo Sans 300"/>
          <w:sz w:val="22"/>
          <w:szCs w:val="22"/>
          <w:lang w:val="es-MX"/>
        </w:rPr>
        <w:t>es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A0964" w:rsidRPr="00CD1FD1">
        <w:rPr>
          <w:rFonts w:ascii="Museo Sans 300" w:hAnsi="Museo Sans 300"/>
          <w:sz w:val="22"/>
          <w:szCs w:val="22"/>
          <w:lang w:val="es-MX"/>
        </w:rPr>
        <w:t>con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respecto al nivel registrado </w:t>
      </w:r>
      <w:r w:rsidR="005A54D2" w:rsidRPr="00CD1FD1">
        <w:rPr>
          <w:rFonts w:ascii="Museo Sans 300" w:hAnsi="Museo Sans 300"/>
          <w:sz w:val="22"/>
          <w:szCs w:val="22"/>
          <w:lang w:val="es-MX"/>
        </w:rPr>
        <w:t xml:space="preserve">al </w:t>
      </w:r>
      <w:r w:rsidR="002A0964" w:rsidRPr="00CD1FD1">
        <w:rPr>
          <w:rFonts w:ascii="Museo Sans 300" w:hAnsi="Museo Sans 300"/>
          <w:sz w:val="22"/>
          <w:szCs w:val="22"/>
          <w:lang w:val="es-MX"/>
        </w:rPr>
        <w:t xml:space="preserve">mismo período </w:t>
      </w:r>
      <w:r w:rsidR="005A54D2" w:rsidRPr="00CD1FD1">
        <w:rPr>
          <w:rFonts w:ascii="Museo Sans 300" w:hAnsi="Museo Sans 300"/>
          <w:sz w:val="22"/>
          <w:szCs w:val="22"/>
          <w:lang w:val="es-MX"/>
        </w:rPr>
        <w:t>de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067A82" w:rsidRPr="00CD1FD1">
        <w:rPr>
          <w:rFonts w:ascii="Museo Sans 300" w:hAnsi="Museo Sans 300"/>
          <w:sz w:val="22"/>
          <w:szCs w:val="22"/>
          <w:lang w:val="es-MX"/>
        </w:rPr>
        <w:t>.</w:t>
      </w:r>
      <w:r w:rsidR="00170BAE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1A0A78" w:rsidRPr="0012688D" w:rsidRDefault="001A0A78" w:rsidP="001A0A78">
      <w:pPr>
        <w:jc w:val="center"/>
        <w:rPr>
          <w:rFonts w:ascii="Museo Sans 300" w:hAnsi="Museo Sans 300"/>
          <w:sz w:val="16"/>
          <w:szCs w:val="16"/>
          <w:highlight w:val="yellow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A0A78" w:rsidRDefault="001A0A78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12688D">
        <w:rPr>
          <w:rFonts w:ascii="Museo Sans 300" w:hAnsi="Museo Sans 300"/>
          <w:sz w:val="22"/>
          <w:szCs w:val="22"/>
          <w:lang w:val="es-MX"/>
        </w:rPr>
        <w:lastRenderedPageBreak/>
        <w:t xml:space="preserve">Gráfico </w:t>
      </w:r>
      <w:r w:rsidR="008C628A">
        <w:rPr>
          <w:rFonts w:ascii="Museo Sans 300" w:hAnsi="Museo Sans 300"/>
          <w:sz w:val="22"/>
          <w:szCs w:val="22"/>
          <w:lang w:val="es-MX"/>
        </w:rPr>
        <w:t>8</w:t>
      </w:r>
      <w:r w:rsidRPr="0012688D">
        <w:rPr>
          <w:rFonts w:ascii="Museo Sans 300" w:hAnsi="Museo Sans 300"/>
          <w:sz w:val="22"/>
          <w:szCs w:val="22"/>
          <w:lang w:val="es-MX"/>
        </w:rPr>
        <w:t>: Saldo de la Deuda con pensiones del SPNF 2014 –2021 y a marzo 2022</w:t>
      </w:r>
    </w:p>
    <w:p w:rsidR="0012688D" w:rsidRPr="0012688D" w:rsidRDefault="0012688D" w:rsidP="001A0A78">
      <w:pPr>
        <w:jc w:val="center"/>
        <w:rPr>
          <w:rFonts w:ascii="Museo Sans 300" w:hAnsi="Museo Sans 300"/>
          <w:sz w:val="16"/>
          <w:szCs w:val="16"/>
          <w:lang w:val="es-MX"/>
        </w:rPr>
      </w:pPr>
    </w:p>
    <w:p w:rsidR="001A0A78" w:rsidRPr="00CD1FD1" w:rsidRDefault="00987C7A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987C7A">
        <w:rPr>
          <w:noProof/>
        </w:rPr>
        <w:drawing>
          <wp:inline distT="0" distB="0" distL="0" distR="0">
            <wp:extent cx="5539043" cy="3319932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72" cy="332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78" w:rsidRPr="00CD1FD1" w:rsidRDefault="001A0A7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17D" w:rsidRPr="00CD1FD1" w:rsidRDefault="00BE517D" w:rsidP="00BE517D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bookmarkStart w:id="47" w:name="_Toc56581214"/>
      <w:bookmarkStart w:id="48" w:name="_Toc72330653"/>
      <w:r w:rsidRPr="00CD1FD1">
        <w:rPr>
          <w:rFonts w:ascii="Museo Sans 300" w:hAnsi="Museo Sans 300"/>
          <w:b/>
          <w:sz w:val="22"/>
          <w:szCs w:val="22"/>
          <w:lang w:val="es-MX"/>
        </w:rPr>
        <w:t>3.1 Deuda Interna</w:t>
      </w:r>
      <w:bookmarkEnd w:id="47"/>
      <w:bookmarkEnd w:id="48"/>
    </w:p>
    <w:p w:rsidR="00BE517D" w:rsidRPr="00CD1FD1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17D" w:rsidRPr="00CD1FD1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El Saldo de la deuda interna alcanzó un monto de $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6,161.9</w:t>
      </w:r>
      <w:r w:rsidR="00194FEF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millones equivalente a 2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0.2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del PIB. Al incorporar el saldo del Fideicomisos de Obligaciones Previsionales, (FOP) </w:t>
      </w:r>
      <w:r w:rsidR="00194FEF" w:rsidRPr="00CD1FD1">
        <w:rPr>
          <w:rFonts w:ascii="Museo Sans 300" w:hAnsi="Museo Sans 300"/>
          <w:sz w:val="22"/>
          <w:szCs w:val="22"/>
          <w:lang w:val="es-MX"/>
        </w:rPr>
        <w:t>este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asciende a $1</w:t>
      </w:r>
      <w:r w:rsidR="00C15348" w:rsidRPr="00CD1FD1">
        <w:rPr>
          <w:rFonts w:ascii="Museo Sans 300" w:hAnsi="Museo Sans 300"/>
          <w:sz w:val="22"/>
          <w:szCs w:val="22"/>
          <w:lang w:val="es-MX"/>
        </w:rPr>
        <w:t>2,042.2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(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39.6</w:t>
      </w:r>
      <w:r w:rsidRPr="00CD1FD1">
        <w:rPr>
          <w:rFonts w:ascii="Museo Sans 300" w:hAnsi="Museo Sans 300"/>
          <w:sz w:val="22"/>
          <w:szCs w:val="22"/>
          <w:lang w:val="es-MX"/>
        </w:rPr>
        <w:t>% del PIB), superior en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732.3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con respecto al nivel registrado en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Pr="00CD1FD1">
        <w:rPr>
          <w:rFonts w:ascii="Museo Sans 300" w:hAnsi="Museo Sans 300"/>
          <w:sz w:val="22"/>
          <w:szCs w:val="22"/>
          <w:lang w:val="es-MX"/>
        </w:rPr>
        <w:t>, debido principalmente al incremento del saldo del Fideicomiso de Obligaciones Previsionales, (FOP) de $</w:t>
      </w:r>
      <w:r w:rsidR="002B4222" w:rsidRPr="00CD1FD1">
        <w:rPr>
          <w:rFonts w:ascii="Museo Sans 300" w:hAnsi="Museo Sans 300"/>
          <w:sz w:val="22"/>
          <w:szCs w:val="22"/>
          <w:lang w:val="es-MX"/>
        </w:rPr>
        <w:t>2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61.2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millones;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329.6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en </w:t>
      </w:r>
      <w:r w:rsidR="00322975" w:rsidRPr="00CD1FD1">
        <w:rPr>
          <w:rFonts w:ascii="Museo Sans 300" w:hAnsi="Museo Sans 300"/>
          <w:sz w:val="22"/>
          <w:szCs w:val="22"/>
          <w:lang w:val="es-MX"/>
        </w:rPr>
        <w:t>bonos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y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334.8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en CETES.</w:t>
      </w:r>
    </w:p>
    <w:p w:rsidR="00BE517D" w:rsidRPr="00CD1FD1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BE517D" w:rsidRPr="00CD1FD1" w:rsidRDefault="00BE517D" w:rsidP="00BE517D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En su composición el saldo de la deuda interna está integrado principalmente por: deuda del BCR por $704.3 millones; Certificados Previsionales del FOP por $5,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880.3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millones; bonos emitidos en el mercado nacional y eurobonos en poder de residentes por $2,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989.9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millones; deuda de corto plazo (LETES) por $1,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112.6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A41536" w:rsidRPr="00CD1FD1">
        <w:rPr>
          <w:rFonts w:ascii="Museo Sans 300" w:hAnsi="Museo Sans 300"/>
          <w:sz w:val="22"/>
          <w:szCs w:val="22"/>
          <w:lang w:val="es-MX"/>
        </w:rPr>
        <w:t>;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CETES por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1,304.8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y otros por </w:t>
      </w:r>
      <w:r w:rsidRPr="008A6373">
        <w:rPr>
          <w:rFonts w:ascii="Museo Sans 300" w:hAnsi="Museo Sans 300"/>
          <w:sz w:val="22"/>
          <w:szCs w:val="22"/>
          <w:lang w:val="es-MX"/>
        </w:rPr>
        <w:t>$</w:t>
      </w:r>
      <w:r w:rsidR="004923BB" w:rsidRPr="008A6373">
        <w:rPr>
          <w:rFonts w:ascii="Museo Sans 300" w:hAnsi="Museo Sans 300"/>
          <w:sz w:val="22"/>
          <w:szCs w:val="22"/>
          <w:lang w:val="es-MX"/>
        </w:rPr>
        <w:t>50.2</w:t>
      </w:r>
      <w:r w:rsidRPr="008A6373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Pr="00A17660">
        <w:rPr>
          <w:rFonts w:ascii="Museo Sans 300" w:hAnsi="Museo Sans 300"/>
          <w:color w:val="FF0000"/>
          <w:sz w:val="22"/>
          <w:szCs w:val="22"/>
          <w:lang w:val="es-MX"/>
        </w:rPr>
        <w:t>.</w:t>
      </w:r>
      <w:r w:rsidR="004B7D62">
        <w:rPr>
          <w:rFonts w:ascii="Museo Sans 300" w:hAnsi="Museo Sans 300"/>
          <w:color w:val="FF0000"/>
          <w:sz w:val="22"/>
          <w:szCs w:val="22"/>
          <w:lang w:val="es-MX"/>
        </w:rPr>
        <w:t xml:space="preserve"> </w:t>
      </w:r>
    </w:p>
    <w:p w:rsidR="00774C28" w:rsidRPr="00CD1FD1" w:rsidRDefault="00774C2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00636C" w:rsidRPr="00CD1FD1" w:rsidRDefault="0000636C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</w:p>
    <w:p w:rsidR="00442DE5" w:rsidRPr="00CD1FD1" w:rsidRDefault="00BD6252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49" w:name="_Toc56581215"/>
      <w:bookmarkStart w:id="50" w:name="_Toc72330654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.2 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>Deuda Externa.</w:t>
      </w:r>
      <w:bookmarkEnd w:id="49"/>
      <w:bookmarkEnd w:id="50"/>
    </w:p>
    <w:p w:rsidR="00442DE5" w:rsidRPr="00CD1FD1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42DE5" w:rsidRPr="00CD1FD1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Por su parte, la deuda externa </w:t>
      </w:r>
      <w:r w:rsidR="00D41F8B" w:rsidRPr="00CD1FD1">
        <w:rPr>
          <w:rFonts w:ascii="Museo Sans 300" w:hAnsi="Museo Sans 300"/>
          <w:sz w:val="22"/>
          <w:szCs w:val="22"/>
          <w:lang w:val="es-MX"/>
        </w:rPr>
        <w:t xml:space="preserve">total </w:t>
      </w:r>
      <w:r w:rsidRPr="00CD1FD1">
        <w:rPr>
          <w:rFonts w:ascii="Museo Sans 300" w:hAnsi="Museo Sans 300"/>
          <w:sz w:val="22"/>
          <w:szCs w:val="22"/>
          <w:lang w:val="es-MX"/>
        </w:rPr>
        <w:t>ascendió a $</w:t>
      </w:r>
      <w:r w:rsidR="00BC69B8" w:rsidRPr="00CD1FD1">
        <w:rPr>
          <w:rFonts w:ascii="Museo Sans 300" w:hAnsi="Museo Sans 300"/>
          <w:sz w:val="22"/>
          <w:szCs w:val="22"/>
          <w:lang w:val="es-MX"/>
        </w:rPr>
        <w:t>1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1,481.2</w:t>
      </w:r>
      <w:r w:rsidR="00481AC8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millones, representando el 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37.7</w:t>
      </w:r>
      <w:r w:rsidRPr="00CD1FD1">
        <w:rPr>
          <w:rFonts w:ascii="Museo Sans 300" w:hAnsi="Museo Sans 300"/>
          <w:sz w:val="22"/>
          <w:szCs w:val="22"/>
          <w:lang w:val="es-MX"/>
        </w:rPr>
        <w:t>% del PIB, resultando m</w:t>
      </w:r>
      <w:r w:rsidR="006A0614" w:rsidRPr="00CD1FD1">
        <w:rPr>
          <w:rFonts w:ascii="Museo Sans 300" w:hAnsi="Museo Sans 300"/>
          <w:sz w:val="22"/>
          <w:szCs w:val="22"/>
          <w:lang w:val="es-MX"/>
        </w:rPr>
        <w:t>ayor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en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825.6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equivalentes a 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7.7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con relación al saldo registrado </w:t>
      </w:r>
      <w:r w:rsidR="008C7079"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="00D41F8B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Pr="00CD1FD1">
        <w:rPr>
          <w:rFonts w:ascii="Museo Sans 300" w:hAnsi="Museo Sans 300"/>
          <w:sz w:val="22"/>
          <w:szCs w:val="22"/>
          <w:lang w:val="es-MX"/>
        </w:rPr>
        <w:t>. Con respecto a su composición, el saldo de la deuda externa está concentrado en las Instituciones multilaterales, con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5,140.2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destacándose el BID, con $</w:t>
      </w:r>
      <w:r w:rsidR="00F32152" w:rsidRPr="00CD1FD1">
        <w:rPr>
          <w:rFonts w:ascii="Museo Sans 300" w:hAnsi="Museo Sans 300"/>
          <w:sz w:val="22"/>
          <w:szCs w:val="22"/>
          <w:lang w:val="es-MX"/>
        </w:rPr>
        <w:t>2,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088.9</w:t>
      </w:r>
      <w:r w:rsidR="00EC41B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millones; el BIRF, con $</w:t>
      </w:r>
      <w:r w:rsidR="00BC69B8" w:rsidRPr="00CD1FD1">
        <w:rPr>
          <w:rFonts w:ascii="Museo Sans 300" w:hAnsi="Museo Sans 300"/>
          <w:sz w:val="22"/>
          <w:szCs w:val="22"/>
          <w:lang w:val="es-MX"/>
        </w:rPr>
        <w:t>7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54.4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y el BCIE, con un saldo de $</w:t>
      </w:r>
      <w:r w:rsidR="004923BB" w:rsidRPr="00CD1FD1">
        <w:rPr>
          <w:rFonts w:ascii="Museo Sans 300" w:hAnsi="Museo Sans 300"/>
          <w:sz w:val="22"/>
          <w:szCs w:val="22"/>
          <w:lang w:val="es-MX"/>
        </w:rPr>
        <w:t>1,838.7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entre otros. La deuda bilateral ascendió a $</w:t>
      </w:r>
      <w:r w:rsidR="00461174" w:rsidRPr="00CD1FD1">
        <w:rPr>
          <w:rFonts w:ascii="Museo Sans 300" w:hAnsi="Museo Sans 300"/>
          <w:sz w:val="22"/>
          <w:szCs w:val="22"/>
          <w:lang w:val="es-MX"/>
        </w:rPr>
        <w:t>3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49.7</w:t>
      </w:r>
      <w:r w:rsidR="00BD7E5E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millones, sobresaliendo </w:t>
      </w:r>
      <w:r w:rsidR="00853AA2" w:rsidRPr="00CD1FD1">
        <w:rPr>
          <w:rFonts w:ascii="Museo Sans 300" w:hAnsi="Museo Sans 300"/>
          <w:sz w:val="22"/>
          <w:szCs w:val="22"/>
          <w:lang w:val="es-MX"/>
        </w:rPr>
        <w:t>Alemania con $</w:t>
      </w:r>
      <w:r w:rsidR="00684C98" w:rsidRPr="00CD1FD1">
        <w:rPr>
          <w:rFonts w:ascii="Museo Sans 300" w:hAnsi="Museo Sans 300"/>
          <w:sz w:val="22"/>
          <w:szCs w:val="22"/>
          <w:lang w:val="es-MX"/>
        </w:rPr>
        <w:t>1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11.1</w:t>
      </w:r>
      <w:r w:rsidR="00853AA2" w:rsidRPr="00CD1FD1">
        <w:rPr>
          <w:rFonts w:ascii="Museo Sans 300" w:hAnsi="Museo Sans 300"/>
          <w:sz w:val="22"/>
          <w:szCs w:val="22"/>
          <w:lang w:val="es-MX"/>
        </w:rPr>
        <w:t xml:space="preserve"> millones y </w:t>
      </w:r>
      <w:r w:rsidRPr="00CD1FD1">
        <w:rPr>
          <w:rFonts w:ascii="Museo Sans 300" w:hAnsi="Museo Sans 300"/>
          <w:sz w:val="22"/>
          <w:szCs w:val="22"/>
          <w:lang w:val="es-MX"/>
        </w:rPr>
        <w:t>Japón con un saldo de $</w:t>
      </w:r>
      <w:r w:rsidR="006B6EC2" w:rsidRPr="00CD1FD1">
        <w:rPr>
          <w:rFonts w:ascii="Museo Sans 300" w:hAnsi="Museo Sans 300"/>
          <w:sz w:val="22"/>
          <w:szCs w:val="22"/>
          <w:lang w:val="es-MX"/>
        </w:rPr>
        <w:t>1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26.8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672060" w:rsidRPr="00CD1FD1">
        <w:rPr>
          <w:rFonts w:ascii="Museo Sans 300" w:hAnsi="Museo Sans 300"/>
          <w:sz w:val="22"/>
          <w:szCs w:val="22"/>
          <w:lang w:val="es-MX"/>
        </w:rPr>
        <w:t>,</w:t>
      </w:r>
      <w:r w:rsidR="00853AA2" w:rsidRPr="00CD1FD1">
        <w:rPr>
          <w:rFonts w:ascii="Museo Sans 300" w:hAnsi="Museo Sans 300"/>
          <w:sz w:val="22"/>
          <w:szCs w:val="22"/>
          <w:lang w:val="es-MX"/>
        </w:rPr>
        <w:t xml:space="preserve"> entre otros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. Finalmente, los eurobonos en poder de </w:t>
      </w:r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 xml:space="preserve">no residentes </w:t>
      </w:r>
      <w:r w:rsidR="00080493" w:rsidRPr="00CD1FD1">
        <w:rPr>
          <w:rFonts w:ascii="Museo Sans 300" w:hAnsi="Museo Sans 300"/>
          <w:sz w:val="22"/>
          <w:szCs w:val="22"/>
          <w:lang w:val="es-MX"/>
        </w:rPr>
        <w:t xml:space="preserve">(deuda comercial) </w:t>
      </w:r>
      <w:r w:rsidRPr="00CD1FD1">
        <w:rPr>
          <w:rFonts w:ascii="Museo Sans 300" w:hAnsi="Museo Sans 300"/>
          <w:sz w:val="22"/>
          <w:szCs w:val="22"/>
          <w:lang w:val="es-MX"/>
        </w:rPr>
        <w:t>ascendieron a $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5,991.3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(incluye $120.0 millones emitidos en el mercado nacional y adquirido por un acreedor externo).</w:t>
      </w:r>
    </w:p>
    <w:p w:rsidR="002B4222" w:rsidRPr="00CD1FD1" w:rsidRDefault="002B4222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42DE5" w:rsidRPr="00CD1FD1" w:rsidRDefault="00442DE5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bookmarkStart w:id="51" w:name="_Toc56581217"/>
      <w:bookmarkStart w:id="52" w:name="_Toc72330655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</w:t>
      </w:r>
      <w:r w:rsidR="000655D5"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>Servicio de la deuda</w:t>
      </w:r>
      <w:r w:rsidR="00170BAE" w:rsidRPr="00CD1FD1">
        <w:rPr>
          <w:rFonts w:ascii="Museo Sans 300" w:hAnsi="Museo Sans 300"/>
          <w:b/>
          <w:sz w:val="22"/>
          <w:szCs w:val="22"/>
          <w:lang w:val="es-MX"/>
        </w:rPr>
        <w:t xml:space="preserve"> del SPNF</w:t>
      </w:r>
      <w:bookmarkEnd w:id="51"/>
      <w:bookmarkEnd w:id="52"/>
    </w:p>
    <w:p w:rsidR="002A48AD" w:rsidRPr="00CD1FD1" w:rsidRDefault="002A48AD" w:rsidP="000655D5">
      <w:pPr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bookmarkStart w:id="53" w:name="_Toc56581219"/>
    </w:p>
    <w:p w:rsidR="00BD4F7B" w:rsidRPr="00CD1FD1" w:rsidRDefault="00BD4F7B" w:rsidP="00BD4F7B">
      <w:pPr>
        <w:ind w:right="-32"/>
        <w:jc w:val="both"/>
        <w:outlineLvl w:val="0"/>
        <w:rPr>
          <w:rFonts w:ascii="Museo Sans 300" w:hAnsi="Museo Sans 300" w:cs="Arial"/>
          <w:b/>
          <w:i/>
          <w:iCs/>
          <w:sz w:val="22"/>
          <w:szCs w:val="22"/>
        </w:rPr>
      </w:pPr>
    </w:p>
    <w:p w:rsidR="00BD4F7B" w:rsidRPr="00CD1FD1" w:rsidRDefault="00BD4F7B" w:rsidP="00BD4F7B">
      <w:pPr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El servicio de deuda asciende a un total de $1,347.1 millones, los cuales se distribuyen de la siguiente forma: se han efectuado amortizaciones acumuladas al mes de marzo 2022 por un valor de $895.8 millones, de las que corresponden a deuda interna $812.3 millones. Por su parte, las amortizaciones efectuadas al sector externo ascienden a $83.5 millones. Como ya se mencionó el pago de intereses ascendió a $451.3 millones, de los cuales $194.5 millones corresponden a deuda interna y el pago de intereses por préstamos externos asciende a $256.8 millones.</w:t>
      </w:r>
    </w:p>
    <w:p w:rsidR="00BD4F7B" w:rsidRPr="00CD1FD1" w:rsidRDefault="00BD4F7B" w:rsidP="008F26CF">
      <w:pPr>
        <w:jc w:val="both"/>
        <w:rPr>
          <w:rFonts w:ascii="Museo Sans 300" w:hAnsi="Museo Sans 300"/>
          <w:sz w:val="22"/>
          <w:szCs w:val="22"/>
        </w:rPr>
      </w:pPr>
    </w:p>
    <w:p w:rsidR="00BD4F7B" w:rsidRPr="00CD1FD1" w:rsidRDefault="00BD4F7B" w:rsidP="008F26CF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8172C2" w:rsidRPr="00CD1FD1" w:rsidRDefault="008172C2" w:rsidP="008F26CF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D41FD9" w:rsidRPr="00CD1FD1" w:rsidRDefault="00AA7D08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54" w:name="_Toc56581220"/>
      <w:bookmarkStart w:id="55" w:name="_Toc72330656"/>
      <w:bookmarkEnd w:id="53"/>
      <w:r w:rsidRPr="00CD1FD1">
        <w:rPr>
          <w:rFonts w:ascii="Museo Sans 300" w:hAnsi="Museo Sans 300"/>
          <w:b/>
          <w:sz w:val="22"/>
          <w:szCs w:val="22"/>
          <w:lang w:val="es-MX"/>
        </w:rPr>
        <w:t>3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</w:t>
      </w:r>
      <w:r w:rsidR="006756D3"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>Deuda de Corto Plazo (LETES).</w:t>
      </w:r>
      <w:bookmarkEnd w:id="54"/>
      <w:bookmarkEnd w:id="55"/>
      <w:r w:rsidR="00442DE5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56" w:name="_Toc443399489"/>
      <w:bookmarkStart w:id="57" w:name="_Toc443556233"/>
      <w:bookmarkStart w:id="58" w:name="_Toc451344351"/>
    </w:p>
    <w:p w:rsidR="00D41FD9" w:rsidRPr="00CD1FD1" w:rsidRDefault="00D41FD9" w:rsidP="004A685A">
      <w:pPr>
        <w:jc w:val="both"/>
        <w:rPr>
          <w:rFonts w:ascii="Museo Sans 300" w:hAnsi="Museo Sans 300"/>
          <w:b/>
          <w:sz w:val="22"/>
          <w:szCs w:val="22"/>
          <w:lang w:val="es-MX"/>
        </w:rPr>
      </w:pPr>
    </w:p>
    <w:p w:rsidR="00442DE5" w:rsidRPr="00CD1FD1" w:rsidRDefault="00442DE5" w:rsidP="009F1B61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El saldo de las LETES (valor precio) al </w:t>
      </w:r>
      <w:r w:rsidR="00D752AF" w:rsidRPr="00CD1FD1">
        <w:rPr>
          <w:rFonts w:ascii="Museo Sans 300" w:hAnsi="Museo Sans 300"/>
          <w:sz w:val="22"/>
          <w:szCs w:val="22"/>
          <w:lang w:val="es-MX"/>
        </w:rPr>
        <w:t xml:space="preserve">mes de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="00C304A1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fue de US$</w:t>
      </w:r>
      <w:r w:rsidR="00990D7D" w:rsidRPr="00CD1FD1">
        <w:rPr>
          <w:rFonts w:ascii="Museo Sans 300" w:hAnsi="Museo Sans 300"/>
          <w:sz w:val="22"/>
          <w:szCs w:val="22"/>
          <w:lang w:val="es-MX"/>
        </w:rPr>
        <w:t>1,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112.6</w:t>
      </w:r>
      <w:r w:rsidR="00990D7D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millones, equivalente a 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3.7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del PIB. </w:t>
      </w:r>
      <w:r w:rsidR="00404593" w:rsidRPr="00CD1FD1">
        <w:rPr>
          <w:rFonts w:ascii="Museo Sans 300" w:hAnsi="Museo Sans 300"/>
          <w:sz w:val="22"/>
          <w:szCs w:val="22"/>
          <w:lang w:val="es-MX"/>
        </w:rPr>
        <w:t>(ver anexo 6)</w:t>
      </w:r>
      <w:r w:rsidRPr="00CD1FD1">
        <w:rPr>
          <w:rFonts w:ascii="Museo Sans 300" w:hAnsi="Museo Sans 300"/>
          <w:sz w:val="22"/>
          <w:szCs w:val="22"/>
          <w:lang w:val="es-MX"/>
        </w:rPr>
        <w:t>.</w:t>
      </w:r>
      <w:bookmarkEnd w:id="56"/>
      <w:bookmarkEnd w:id="57"/>
      <w:bookmarkEnd w:id="58"/>
    </w:p>
    <w:p w:rsidR="004249A7" w:rsidRPr="00CD1FD1" w:rsidRDefault="004249A7" w:rsidP="009F1B61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12688D" w:rsidRDefault="0012688D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2688D" w:rsidRDefault="0012688D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12688D" w:rsidRDefault="0012688D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456CE0" w:rsidRPr="00CD1FD1" w:rsidRDefault="00456CE0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Gráfico No.</w:t>
      </w:r>
      <w:r w:rsidR="008C628A">
        <w:rPr>
          <w:rFonts w:ascii="Museo Sans 300" w:hAnsi="Museo Sans 300"/>
          <w:sz w:val="22"/>
          <w:szCs w:val="22"/>
          <w:lang w:val="es-MX"/>
        </w:rPr>
        <w:t>9</w:t>
      </w:r>
      <w:r w:rsidR="006B57E8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LETES: Saldos Anuales </w:t>
      </w:r>
      <w:r w:rsidR="007D5010" w:rsidRPr="00CD1FD1">
        <w:rPr>
          <w:rFonts w:ascii="Museo Sans 300" w:hAnsi="Museo Sans 300"/>
          <w:sz w:val="22"/>
          <w:szCs w:val="22"/>
          <w:lang w:val="es-MX"/>
        </w:rPr>
        <w:t>20</w:t>
      </w:r>
      <w:r w:rsidR="00813981" w:rsidRPr="00CD1FD1">
        <w:rPr>
          <w:rFonts w:ascii="Museo Sans 300" w:hAnsi="Museo Sans 300"/>
          <w:sz w:val="22"/>
          <w:szCs w:val="22"/>
          <w:lang w:val="es-MX"/>
        </w:rPr>
        <w:t>14</w:t>
      </w:r>
      <w:r w:rsidR="001B0E38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sz w:val="22"/>
          <w:szCs w:val="22"/>
          <w:lang w:val="es-MX"/>
        </w:rPr>
        <w:t>20</w:t>
      </w:r>
      <w:r w:rsidR="007D5010" w:rsidRPr="00CD1FD1">
        <w:rPr>
          <w:rFonts w:ascii="Museo Sans 300" w:hAnsi="Museo Sans 300"/>
          <w:sz w:val="22"/>
          <w:szCs w:val="22"/>
          <w:lang w:val="es-MX"/>
        </w:rPr>
        <w:t>2</w:t>
      </w:r>
      <w:r w:rsidR="00813981" w:rsidRPr="00CD1FD1">
        <w:rPr>
          <w:rFonts w:ascii="Museo Sans 300" w:hAnsi="Museo Sans 300"/>
          <w:sz w:val="22"/>
          <w:szCs w:val="22"/>
          <w:lang w:val="es-MX"/>
        </w:rPr>
        <w:t>2</w:t>
      </w:r>
      <w:r w:rsidR="007D5010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F667C7" w:rsidRPr="00CD1FD1">
        <w:rPr>
          <w:rFonts w:ascii="Museo Sans 300" w:hAnsi="Museo Sans 300"/>
          <w:sz w:val="22"/>
          <w:szCs w:val="22"/>
          <w:lang w:val="es-MX"/>
        </w:rPr>
        <w:t>(valor precio)</w:t>
      </w:r>
      <w:r w:rsidRPr="00CD1FD1">
        <w:rPr>
          <w:rFonts w:ascii="Museo Sans 300" w:hAnsi="Museo Sans 300"/>
          <w:sz w:val="22"/>
          <w:szCs w:val="22"/>
          <w:lang w:val="es-MX"/>
        </w:rPr>
        <w:br/>
      </w:r>
      <w:r w:rsidR="002C6F2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>(Millones de US$)</w:t>
      </w:r>
    </w:p>
    <w:p w:rsidR="007D580D" w:rsidRPr="00CD1FD1" w:rsidRDefault="00D667CE" w:rsidP="00EB18F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>
            <wp:extent cx="5497830" cy="3456000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694" cy="34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CE0" w:rsidRPr="00CD1FD1" w:rsidRDefault="00456CE0" w:rsidP="00EB18F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BE54F5" w:rsidRPr="00CD1FD1" w:rsidRDefault="005537E5" w:rsidP="00080493">
      <w:pPr>
        <w:pStyle w:val="Heading2"/>
        <w:spacing w:before="0"/>
        <w:rPr>
          <w:rFonts w:ascii="Museo Sans 300" w:hAnsi="Museo Sans 300"/>
          <w:b/>
          <w:sz w:val="22"/>
          <w:szCs w:val="22"/>
          <w:lang w:val="es-MX"/>
        </w:rPr>
      </w:pPr>
      <w:bookmarkStart w:id="59" w:name="_Toc411843467"/>
      <w:bookmarkStart w:id="60" w:name="_Toc505951458"/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 xml:space="preserve"> </w:t>
      </w:r>
      <w:bookmarkStart w:id="61" w:name="_Toc56581221"/>
      <w:bookmarkStart w:id="62" w:name="_Toc72330657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52AF" w:rsidRPr="00CD1FD1">
        <w:rPr>
          <w:rFonts w:ascii="Museo Sans 300" w:hAnsi="Museo Sans 300"/>
          <w:b/>
          <w:sz w:val="22"/>
          <w:szCs w:val="22"/>
          <w:lang w:val="es-MX"/>
        </w:rPr>
        <w:t>R</w:t>
      </w:r>
      <w:r w:rsidR="00BE54F5" w:rsidRPr="00CD1FD1">
        <w:rPr>
          <w:rFonts w:ascii="Museo Sans 300" w:hAnsi="Museo Sans 300"/>
          <w:b/>
          <w:sz w:val="22"/>
          <w:szCs w:val="22"/>
          <w:lang w:val="es-MX"/>
        </w:rPr>
        <w:t>esultados</w:t>
      </w:r>
      <w:bookmarkEnd w:id="59"/>
      <w:r w:rsidR="00C20E39" w:rsidRPr="00CD1FD1">
        <w:rPr>
          <w:rFonts w:ascii="Museo Sans 300" w:hAnsi="Museo Sans 300"/>
          <w:b/>
          <w:sz w:val="22"/>
          <w:szCs w:val="22"/>
          <w:lang w:val="es-MX"/>
        </w:rPr>
        <w:t xml:space="preserve"> Globales del SPNF</w:t>
      </w:r>
      <w:bookmarkEnd w:id="60"/>
      <w:bookmarkEnd w:id="61"/>
      <w:r w:rsidR="00404593" w:rsidRPr="00CD1FD1">
        <w:rPr>
          <w:rFonts w:ascii="Museo Sans 300" w:hAnsi="Museo Sans 300"/>
          <w:b/>
          <w:sz w:val="22"/>
          <w:szCs w:val="22"/>
          <w:lang w:val="es-MX"/>
        </w:rPr>
        <w:t xml:space="preserve"> (ver anexo 1 y 2)</w:t>
      </w:r>
      <w:bookmarkEnd w:id="62"/>
    </w:p>
    <w:p w:rsidR="009B117C" w:rsidRPr="00CD1FD1" w:rsidRDefault="00442DE5" w:rsidP="003454B9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63" w:name="_Toc411843468"/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bookmarkEnd w:id="63"/>
    <w:p w:rsidR="00DD3F45" w:rsidRPr="00CD1FD1" w:rsidRDefault="00DD3F45" w:rsidP="00DB11D8">
      <w:pPr>
        <w:pStyle w:val="Heading3"/>
        <w:rPr>
          <w:rFonts w:ascii="Museo Sans 300" w:hAnsi="Museo Sans 300"/>
          <w:sz w:val="22"/>
          <w:szCs w:val="22"/>
          <w:lang w:val="es-MX"/>
        </w:rPr>
      </w:pPr>
    </w:p>
    <w:p w:rsidR="005B3920" w:rsidRPr="00CD1FD1" w:rsidRDefault="00085376" w:rsidP="005B3920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64" w:name="_Toc411843469"/>
      <w:bookmarkStart w:id="65" w:name="_Toc56581223"/>
      <w:bookmarkStart w:id="66" w:name="_Toc72330658"/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4.1 </w:t>
      </w:r>
      <w:bookmarkEnd w:id="64"/>
      <w:bookmarkEnd w:id="65"/>
      <w:r w:rsidR="005B3920" w:rsidRPr="00CD1FD1">
        <w:rPr>
          <w:rFonts w:ascii="Museo Sans 300" w:hAnsi="Museo Sans 300"/>
          <w:b/>
          <w:sz w:val="22"/>
          <w:szCs w:val="22"/>
          <w:lang w:val="es-MX"/>
        </w:rPr>
        <w:t>Balance Primario</w:t>
      </w:r>
      <w:bookmarkEnd w:id="66"/>
    </w:p>
    <w:p w:rsidR="005B3920" w:rsidRPr="00CD1FD1" w:rsidRDefault="005B3920" w:rsidP="005B3920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5B3920" w:rsidRPr="00CD1FD1" w:rsidRDefault="005B3920" w:rsidP="005B3920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El balance primario</w:t>
      </w:r>
      <w:r w:rsidRPr="00CD1FD1">
        <w:rPr>
          <w:rFonts w:ascii="Museo Sans 300" w:hAnsi="Museo Sans 300"/>
          <w:sz w:val="22"/>
          <w:szCs w:val="22"/>
          <w:vertAlign w:val="superscript"/>
          <w:lang w:val="es-MX"/>
        </w:rPr>
        <w:footnoteReference w:id="1"/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(con pensiones)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>a marzo 2022</w:t>
      </w:r>
      <w:r w:rsidRPr="00CD1FD1">
        <w:rPr>
          <w:rFonts w:ascii="Museo Sans 300" w:hAnsi="Museo Sans 300"/>
          <w:sz w:val="22"/>
          <w:szCs w:val="22"/>
          <w:lang w:val="es-MX"/>
        </w:rPr>
        <w:t>, obtuvo un resultado de $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295.0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siendo 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 xml:space="preserve">ayor </w:t>
      </w:r>
      <w:r w:rsidRPr="00CD1FD1">
        <w:rPr>
          <w:rFonts w:ascii="Museo Sans 300" w:hAnsi="Museo Sans 300"/>
          <w:sz w:val="22"/>
          <w:szCs w:val="22"/>
          <w:lang w:val="es-MX"/>
        </w:rPr>
        <w:t>en $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198.2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 respecto al superávit obtenido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>a marzo 202</w:t>
      </w:r>
      <w:r w:rsidR="00DA1707" w:rsidRPr="00CD1FD1">
        <w:rPr>
          <w:rFonts w:ascii="Museo Sans 300" w:hAnsi="Museo Sans 300"/>
          <w:sz w:val="22"/>
          <w:szCs w:val="22"/>
          <w:lang w:val="es-MX"/>
        </w:rPr>
        <w:t>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. En términos del PIB fue equivalente al 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1.0</w:t>
      </w:r>
      <w:r w:rsidRPr="00CD1FD1">
        <w:rPr>
          <w:rFonts w:ascii="Museo Sans 300" w:hAnsi="Museo Sans 300"/>
          <w:sz w:val="22"/>
          <w:szCs w:val="22"/>
          <w:lang w:val="es-MX"/>
        </w:rPr>
        <w:t>% 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ayor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en 0.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7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puntos al obtenido en el año anterior.</w:t>
      </w:r>
    </w:p>
    <w:p w:rsidR="00002A15" w:rsidRPr="00CD1FD1" w:rsidRDefault="00002A15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9E7475" w:rsidRPr="00CD1FD1" w:rsidRDefault="009E7475" w:rsidP="00840A08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9611D" w:rsidRPr="00CD1FD1" w:rsidRDefault="0049611D" w:rsidP="0049611D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Gráfico 1</w:t>
      </w:r>
      <w:r w:rsidR="008C628A">
        <w:rPr>
          <w:rFonts w:ascii="Museo Sans 300" w:hAnsi="Museo Sans 300"/>
          <w:sz w:val="22"/>
          <w:szCs w:val="22"/>
          <w:lang w:val="es-MX"/>
        </w:rPr>
        <w:t>0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Balance Primario </w:t>
      </w:r>
      <w:r w:rsidRPr="0012688D">
        <w:rPr>
          <w:rFonts w:ascii="Museo Sans 300" w:hAnsi="Museo Sans 300"/>
          <w:sz w:val="22"/>
          <w:szCs w:val="22"/>
          <w:lang w:val="es-MX"/>
        </w:rPr>
        <w:t>del SPNF a marzo 2014-2022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DA1707" w:rsidRPr="00CD1FD1" w:rsidRDefault="00DA1707" w:rsidP="00DC07AD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0E0CCD" w:rsidRPr="00CD1FD1" w:rsidRDefault="0049611D">
      <w:pPr>
        <w:rPr>
          <w:rFonts w:ascii="Museo Sans 300" w:hAnsi="Museo Sans 300"/>
          <w:sz w:val="22"/>
          <w:szCs w:val="22"/>
          <w:lang w:val="es-MX"/>
        </w:rPr>
      </w:pPr>
      <w:r w:rsidRPr="00987C7A">
        <w:rPr>
          <w:noProof/>
        </w:rPr>
        <w:drawing>
          <wp:inline distT="0" distB="0" distL="0" distR="0" wp14:anchorId="7E69431F" wp14:editId="2740FC77">
            <wp:extent cx="5168953" cy="3098112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24" cy="31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07" w:rsidRPr="00CD1FD1" w:rsidRDefault="00DA1707" w:rsidP="00DC07AD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0A05C1" w:rsidRPr="00CD1FD1" w:rsidRDefault="000A05C1" w:rsidP="00DC07AD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C07AD" w:rsidRPr="00CD1FD1" w:rsidRDefault="00991E13" w:rsidP="00DC07AD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 xml:space="preserve">   </w:t>
      </w:r>
    </w:p>
    <w:p w:rsidR="00DB11D8" w:rsidRPr="00CD1FD1" w:rsidRDefault="00DB11D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E95BC9" w:rsidRPr="00CD1FD1" w:rsidRDefault="00E95BC9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D752AF" w:rsidRPr="00CD1FD1" w:rsidRDefault="00442DE5" w:rsidP="004423E5">
      <w:pPr>
        <w:pStyle w:val="Heading3"/>
        <w:rPr>
          <w:rFonts w:ascii="Museo Sans 300" w:hAnsi="Museo Sans 300"/>
          <w:b/>
          <w:sz w:val="22"/>
          <w:szCs w:val="22"/>
          <w:lang w:val="es-MX"/>
        </w:rPr>
      </w:pPr>
      <w:bookmarkStart w:id="67" w:name="_Toc411843470"/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68" w:name="_Toc56581224"/>
      <w:bookmarkStart w:id="69" w:name="_Toc72330659"/>
      <w:r w:rsidR="00AA7D08" w:rsidRPr="00CD1FD1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>.</w:t>
      </w:r>
      <w:r w:rsidR="00DB11D8" w:rsidRPr="00CD1FD1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D752AF" w:rsidRPr="00CD1FD1">
        <w:rPr>
          <w:rFonts w:ascii="Museo Sans 300" w:hAnsi="Museo Sans 300"/>
          <w:b/>
          <w:sz w:val="22"/>
          <w:szCs w:val="22"/>
          <w:lang w:val="es-MX"/>
        </w:rPr>
        <w:t>Balance global</w:t>
      </w:r>
      <w:bookmarkEnd w:id="68"/>
      <w:bookmarkEnd w:id="69"/>
    </w:p>
    <w:p w:rsidR="00D752AF" w:rsidRPr="00CD1FD1" w:rsidRDefault="00D752A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bookmarkEnd w:id="67"/>
    <w:p w:rsidR="00665FCA" w:rsidRPr="00CD1FD1" w:rsidRDefault="002F28DF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Las operaciones financieras consolidadas</w:t>
      </w:r>
      <w:r w:rsidR="007A4225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del SPNF </w:t>
      </w:r>
      <w:r w:rsidR="00355D4B" w:rsidRPr="00CD1FD1">
        <w:rPr>
          <w:rFonts w:ascii="Museo Sans 300" w:hAnsi="Museo Sans 300"/>
          <w:sz w:val="22"/>
          <w:szCs w:val="22"/>
          <w:lang w:val="es-MX"/>
        </w:rPr>
        <w:t>a marzo 2022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, registr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aron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un</w:t>
      </w:r>
      <w:r w:rsidR="00DB556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37C9" w:rsidRPr="00CD1FD1">
        <w:rPr>
          <w:rFonts w:ascii="Museo Sans 300" w:hAnsi="Museo Sans 300"/>
          <w:sz w:val="22"/>
          <w:szCs w:val="22"/>
          <w:lang w:val="es-MX"/>
        </w:rPr>
        <w:t>déficit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global sin pensiones de $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83.2</w:t>
      </w:r>
      <w:r w:rsidR="00FB7D8B" w:rsidRPr="00CD1FD1">
        <w:rPr>
          <w:rFonts w:ascii="Museo Sans 300" w:hAnsi="Museo Sans 300"/>
          <w:sz w:val="22"/>
          <w:szCs w:val="22"/>
          <w:lang w:val="es-MX"/>
        </w:rPr>
        <w:t xml:space="preserve"> mi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llones, equivalente a </w:t>
      </w:r>
      <w:r w:rsidR="00DA7944" w:rsidRPr="00CD1FD1">
        <w:rPr>
          <w:rFonts w:ascii="Museo Sans 300" w:hAnsi="Museo Sans 300"/>
          <w:sz w:val="22"/>
          <w:szCs w:val="22"/>
          <w:lang w:val="es-MX"/>
        </w:rPr>
        <w:t>-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0.3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% del PIB; </w:t>
      </w:r>
      <w:r w:rsidR="00F12D56" w:rsidRPr="00CD1FD1">
        <w:rPr>
          <w:rFonts w:ascii="Museo Sans 300" w:hAnsi="Museo Sans 300"/>
          <w:sz w:val="22"/>
          <w:szCs w:val="22"/>
          <w:lang w:val="es-MX"/>
        </w:rPr>
        <w:t xml:space="preserve">resultado </w:t>
      </w:r>
      <w:r w:rsidR="00BE37C9" w:rsidRPr="00CD1FD1">
        <w:rPr>
          <w:rFonts w:ascii="Museo Sans 300" w:hAnsi="Museo Sans 300"/>
          <w:sz w:val="22"/>
          <w:szCs w:val="22"/>
          <w:lang w:val="es-MX"/>
        </w:rPr>
        <w:t>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ED4983"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FE031E" w:rsidRPr="00CD1FD1">
        <w:rPr>
          <w:rFonts w:ascii="Museo Sans 300" w:hAnsi="Museo Sans 300"/>
          <w:sz w:val="22"/>
          <w:szCs w:val="22"/>
          <w:lang w:val="es-MX"/>
        </w:rPr>
        <w:t>0.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6</w:t>
      </w:r>
      <w:r w:rsidR="00ED4983" w:rsidRPr="00CD1FD1">
        <w:rPr>
          <w:rFonts w:ascii="Museo Sans 300" w:hAnsi="Museo Sans 300"/>
          <w:sz w:val="22"/>
          <w:szCs w:val="22"/>
          <w:lang w:val="es-MX"/>
        </w:rPr>
        <w:t xml:space="preserve"> puntos </w:t>
      </w:r>
      <w:r w:rsidR="00DB556C" w:rsidRPr="00CD1FD1">
        <w:rPr>
          <w:rFonts w:ascii="Museo Sans 300" w:hAnsi="Museo Sans 300"/>
          <w:sz w:val="22"/>
          <w:szCs w:val="22"/>
          <w:lang w:val="es-MX"/>
        </w:rPr>
        <w:t xml:space="preserve">del PIB </w:t>
      </w:r>
      <w:r w:rsidR="00F12D56" w:rsidRPr="00CD1FD1">
        <w:rPr>
          <w:rFonts w:ascii="Museo Sans 300" w:hAnsi="Museo Sans 300"/>
          <w:sz w:val="22"/>
          <w:szCs w:val="22"/>
          <w:lang w:val="es-MX"/>
        </w:rPr>
        <w:t>c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on relación al observado en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, producto de un</w:t>
      </w:r>
      <w:r w:rsidR="00FE031E" w:rsidRPr="00CD1FD1">
        <w:rPr>
          <w:rFonts w:ascii="Museo Sans 300" w:hAnsi="Museo Sans 300"/>
          <w:sz w:val="22"/>
          <w:szCs w:val="22"/>
          <w:lang w:val="es-MX"/>
        </w:rPr>
        <w:t xml:space="preserve"> crecimiento m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ayor</w:t>
      </w:r>
      <w:r w:rsidR="00FE031E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en los ingresos por $</w:t>
      </w:r>
      <w:r w:rsidR="00BD4F7B" w:rsidRPr="00CD1FD1">
        <w:rPr>
          <w:rFonts w:ascii="Museo Sans 300" w:hAnsi="Museo Sans 300"/>
          <w:sz w:val="22"/>
          <w:szCs w:val="22"/>
          <w:lang w:val="es-MX"/>
        </w:rPr>
        <w:t>361.8</w:t>
      </w:r>
      <w:r w:rsidR="00C9047A" w:rsidRPr="00CD1FD1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 xml:space="preserve"> (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23.2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>%)</w:t>
      </w:r>
      <w:r w:rsidR="00C9047A" w:rsidRPr="00CD1FD1">
        <w:rPr>
          <w:rFonts w:ascii="Museo Sans 300" w:hAnsi="Museo Sans 300"/>
          <w:sz w:val="22"/>
          <w:szCs w:val="22"/>
          <w:lang w:val="es-MX"/>
        </w:rPr>
        <w:t xml:space="preserve"> y </w:t>
      </w:r>
      <w:r w:rsidR="00F83B36" w:rsidRPr="00CD1FD1">
        <w:rPr>
          <w:rFonts w:ascii="Museo Sans 300" w:hAnsi="Museo Sans 300"/>
          <w:sz w:val="22"/>
          <w:szCs w:val="22"/>
          <w:lang w:val="es-MX"/>
        </w:rPr>
        <w:t>un incremento</w:t>
      </w:r>
      <w:r w:rsidR="00D63A75" w:rsidRPr="00CD1FD1">
        <w:rPr>
          <w:rFonts w:ascii="Museo Sans 300" w:hAnsi="Museo Sans 300"/>
          <w:sz w:val="22"/>
          <w:szCs w:val="22"/>
          <w:lang w:val="es-MX"/>
        </w:rPr>
        <w:t xml:space="preserve"> m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en los gastos totales de $</w:t>
      </w:r>
      <w:r w:rsidR="002F44DD" w:rsidRPr="00CD1FD1">
        <w:rPr>
          <w:rFonts w:ascii="Museo Sans 300" w:hAnsi="Museo Sans 300"/>
          <w:sz w:val="22"/>
          <w:szCs w:val="22"/>
          <w:lang w:val="es-MX"/>
        </w:rPr>
        <w:t>1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89.4</w:t>
      </w:r>
      <w:r w:rsidR="003C618A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millones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 xml:space="preserve"> (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10.4</w:t>
      </w:r>
      <w:r w:rsidR="00CA5904" w:rsidRPr="00CD1FD1">
        <w:rPr>
          <w:rFonts w:ascii="Museo Sans 300" w:hAnsi="Museo Sans 300"/>
          <w:sz w:val="22"/>
          <w:szCs w:val="22"/>
          <w:lang w:val="es-MX"/>
        </w:rPr>
        <w:t>%)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. Al incorporar el pago en concepto de pensiones</w:t>
      </w:r>
      <w:r w:rsidR="007A4225" w:rsidRPr="00CD1FD1">
        <w:rPr>
          <w:rFonts w:ascii="Museo Sans 300" w:hAnsi="Museo Sans 300"/>
          <w:sz w:val="22"/>
          <w:szCs w:val="22"/>
          <w:lang w:val="es-MX"/>
        </w:rPr>
        <w:t xml:space="preserve"> (FOP)</w:t>
      </w:r>
      <w:r w:rsidR="00665FCA" w:rsidRPr="00CD1FD1">
        <w:rPr>
          <w:rFonts w:ascii="Museo Sans 300" w:hAnsi="Museo Sans 300"/>
          <w:sz w:val="22"/>
          <w:szCs w:val="22"/>
          <w:lang w:val="es-MX"/>
        </w:rPr>
        <w:t>,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 resultó un déficit global de $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156.3</w:t>
      </w:r>
      <w:r w:rsidR="00834CD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A147C" w:rsidRPr="00CD1FD1">
        <w:rPr>
          <w:rFonts w:ascii="Museo Sans 300" w:hAnsi="Museo Sans 300"/>
          <w:sz w:val="22"/>
          <w:szCs w:val="22"/>
          <w:lang w:val="es-MX"/>
        </w:rPr>
        <w:t>millones</w:t>
      </w:r>
      <w:r w:rsidR="0090383E" w:rsidRPr="00CD1FD1">
        <w:rPr>
          <w:rFonts w:ascii="Museo Sans 300" w:hAnsi="Museo Sans 300"/>
          <w:sz w:val="22"/>
          <w:szCs w:val="22"/>
          <w:lang w:val="es-MX"/>
        </w:rPr>
        <w:t>,</w:t>
      </w:r>
      <w:r w:rsidR="002A147C" w:rsidRPr="00CD1FD1">
        <w:rPr>
          <w:rFonts w:ascii="Museo Sans 300" w:hAnsi="Museo Sans 300"/>
          <w:sz w:val="22"/>
          <w:szCs w:val="22"/>
          <w:lang w:val="es-MX"/>
        </w:rPr>
        <w:t xml:space="preserve"> m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14194D" w:rsidRPr="00CD1FD1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$</w:t>
      </w:r>
      <w:r w:rsidR="007B4C04" w:rsidRPr="00CD1FD1">
        <w:rPr>
          <w:rFonts w:ascii="Museo Sans 300" w:hAnsi="Museo Sans 300"/>
          <w:sz w:val="22"/>
          <w:szCs w:val="22"/>
          <w:lang w:val="es-MX"/>
        </w:rPr>
        <w:t>1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67.9</w:t>
      </w:r>
      <w:r w:rsidR="0061270D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millones al registrado en </w:t>
      </w:r>
      <w:r w:rsidR="00C6558B" w:rsidRPr="00CD1FD1">
        <w:rPr>
          <w:rFonts w:ascii="Museo Sans 300" w:hAnsi="Museo Sans 300"/>
          <w:sz w:val="22"/>
          <w:szCs w:val="22"/>
          <w:lang w:val="es-MX"/>
        </w:rPr>
        <w:t xml:space="preserve">el mismo período de </w:t>
      </w:r>
      <w:r w:rsidR="00581B7E" w:rsidRPr="00CD1FD1">
        <w:rPr>
          <w:rFonts w:ascii="Museo Sans 300" w:hAnsi="Museo Sans 300"/>
          <w:sz w:val="22"/>
          <w:szCs w:val="22"/>
          <w:lang w:val="es-MX"/>
        </w:rPr>
        <w:t>2021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. En términos del PIB </w:t>
      </w:r>
      <w:r w:rsidR="0052116C" w:rsidRPr="00CD1FD1">
        <w:rPr>
          <w:rFonts w:ascii="Museo Sans 300" w:hAnsi="Museo Sans 300"/>
          <w:sz w:val="22"/>
          <w:szCs w:val="22"/>
          <w:lang w:val="es-MX"/>
        </w:rPr>
        <w:t xml:space="preserve">el déficit </w:t>
      </w:r>
      <w:r w:rsidR="006B4FA5" w:rsidRPr="00CD1FD1">
        <w:rPr>
          <w:rFonts w:ascii="Museo Sans 300" w:hAnsi="Museo Sans 300"/>
          <w:sz w:val="22"/>
          <w:szCs w:val="22"/>
          <w:lang w:val="es-MX"/>
        </w:rPr>
        <w:t xml:space="preserve">fiscal 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 xml:space="preserve">fue equivalente a </w:t>
      </w:r>
      <w:r w:rsidR="00137B38" w:rsidRPr="00CD1FD1">
        <w:rPr>
          <w:rFonts w:ascii="Museo Sans 300" w:hAnsi="Museo Sans 300"/>
          <w:sz w:val="22"/>
          <w:szCs w:val="22"/>
          <w:lang w:val="es-MX"/>
        </w:rPr>
        <w:t>-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0.5</w:t>
      </w:r>
      <w:r w:rsidR="00BE54F5" w:rsidRPr="00CD1FD1">
        <w:rPr>
          <w:rFonts w:ascii="Museo Sans 300" w:hAnsi="Museo Sans 300"/>
          <w:sz w:val="22"/>
          <w:szCs w:val="22"/>
          <w:lang w:val="es-MX"/>
        </w:rPr>
        <w:t>%</w:t>
      </w:r>
      <w:r w:rsidR="00650F9B" w:rsidRPr="00CD1FD1">
        <w:rPr>
          <w:rFonts w:ascii="Museo Sans 300" w:hAnsi="Museo Sans 300"/>
          <w:sz w:val="22"/>
          <w:szCs w:val="22"/>
          <w:lang w:val="es-MX"/>
        </w:rPr>
        <w:t>.</w:t>
      </w:r>
      <w:r w:rsidR="00DB556C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7D580D" w:rsidRPr="00CD1FD1" w:rsidRDefault="007D580D" w:rsidP="00DB556C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DB556C" w:rsidRPr="00CD1FD1" w:rsidRDefault="00DB556C" w:rsidP="00DB556C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t>El pago de las pensiones ascendió a $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73.1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millones, y represent</w:t>
      </w:r>
      <w:r w:rsidR="00642D34" w:rsidRPr="00CD1FD1">
        <w:rPr>
          <w:rFonts w:ascii="Museo Sans 300" w:hAnsi="Museo Sans 300"/>
          <w:sz w:val="22"/>
          <w:szCs w:val="22"/>
          <w:lang w:val="es-MX"/>
        </w:rPr>
        <w:t>ó</w:t>
      </w:r>
      <w:r w:rsidR="007B4C04" w:rsidRPr="00CD1FD1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el </w:t>
      </w:r>
      <w:r w:rsidR="00FE031E" w:rsidRPr="00CD1FD1">
        <w:rPr>
          <w:rFonts w:ascii="Museo Sans 300" w:hAnsi="Museo Sans 300"/>
          <w:sz w:val="22"/>
          <w:szCs w:val="22"/>
          <w:lang w:val="es-MX"/>
        </w:rPr>
        <w:t>0.</w:t>
      </w:r>
      <w:r w:rsidR="00533421" w:rsidRPr="00CD1FD1">
        <w:rPr>
          <w:rFonts w:ascii="Museo Sans 300" w:hAnsi="Museo Sans 300"/>
          <w:sz w:val="22"/>
          <w:szCs w:val="22"/>
          <w:lang w:val="es-MX"/>
        </w:rPr>
        <w:t>2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% del PIB. </w:t>
      </w:r>
    </w:p>
    <w:p w:rsidR="000F7857" w:rsidRPr="00CD1FD1" w:rsidRDefault="00DA7944" w:rsidP="0049611D">
      <w:pPr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  <w:lang w:val="es-MX"/>
        </w:rPr>
        <w:lastRenderedPageBreak/>
        <w:t>Gráfico 1</w:t>
      </w:r>
      <w:r w:rsidR="008C628A">
        <w:rPr>
          <w:rFonts w:ascii="Museo Sans 300" w:hAnsi="Museo Sans 300"/>
          <w:sz w:val="22"/>
          <w:szCs w:val="22"/>
          <w:lang w:val="es-MX"/>
        </w:rPr>
        <w:t>1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: Balance Global con pensiones del SPNF a </w:t>
      </w:r>
      <w:r w:rsidR="00442690" w:rsidRPr="00CD1FD1">
        <w:rPr>
          <w:rFonts w:ascii="Museo Sans 300" w:hAnsi="Museo Sans 300"/>
          <w:sz w:val="22"/>
          <w:szCs w:val="22"/>
          <w:lang w:val="es-MX"/>
        </w:rPr>
        <w:t>marzo</w:t>
      </w:r>
      <w:r w:rsidRPr="00CD1FD1">
        <w:rPr>
          <w:rFonts w:ascii="Museo Sans 300" w:hAnsi="Museo Sans 300"/>
          <w:sz w:val="22"/>
          <w:szCs w:val="22"/>
          <w:lang w:val="es-MX"/>
        </w:rPr>
        <w:t xml:space="preserve"> 2014-202</w:t>
      </w:r>
      <w:r w:rsidR="00F4033D" w:rsidRPr="00CD1FD1">
        <w:rPr>
          <w:rFonts w:ascii="Museo Sans 300" w:hAnsi="Museo Sans 300"/>
          <w:sz w:val="22"/>
          <w:szCs w:val="22"/>
          <w:lang w:val="es-MX"/>
        </w:rPr>
        <w:t>2</w:t>
      </w:r>
    </w:p>
    <w:p w:rsidR="00DB11D8" w:rsidRPr="00CD1FD1" w:rsidRDefault="00DB11D8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22AAA" w:rsidRPr="00CD1FD1" w:rsidRDefault="0012688D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12688D">
        <w:rPr>
          <w:noProof/>
        </w:rPr>
        <w:drawing>
          <wp:inline distT="0" distB="0" distL="0" distR="0">
            <wp:extent cx="5443200" cy="3262487"/>
            <wp:effectExtent l="0" t="0" r="571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04" cy="32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DB11D8" w:rsidRPr="00CD1FD1" w:rsidRDefault="00DB11D8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C75E6A" w:rsidRPr="00CD1FD1" w:rsidRDefault="00C75E6A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C75E6A" w:rsidRPr="00CD1FD1" w:rsidRDefault="00C75E6A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C75E6A" w:rsidRPr="00CD1FD1" w:rsidRDefault="00C75E6A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C75E6A" w:rsidRPr="00CD1FD1" w:rsidRDefault="00C75E6A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E5417D" w:rsidRPr="00CD1FD1" w:rsidRDefault="00E5417D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E5417D" w:rsidRPr="00CD1FD1" w:rsidRDefault="00E5417D" w:rsidP="00C75E6A">
      <w:pPr>
        <w:rPr>
          <w:rFonts w:ascii="Museo Sans 300" w:hAnsi="Museo Sans 300"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70" w:name="_Toc56581225"/>
      <w:bookmarkStart w:id="71" w:name="_Toc72330660"/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9611D" w:rsidRDefault="0049611D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BE54F5" w:rsidRPr="00CD1FD1" w:rsidRDefault="00AA7D08" w:rsidP="00831D82">
      <w:pPr>
        <w:pStyle w:val="Heading2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5</w:t>
      </w:r>
      <w:r w:rsidR="004423E5" w:rsidRPr="00CD1FD1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03ED" w:rsidRPr="00CD1FD1">
        <w:rPr>
          <w:rFonts w:ascii="Museo Sans 300" w:hAnsi="Museo Sans 300"/>
          <w:b/>
          <w:sz w:val="22"/>
          <w:szCs w:val="22"/>
          <w:lang w:val="es-MX"/>
        </w:rPr>
        <w:t>A</w:t>
      </w:r>
      <w:r w:rsidR="00620488" w:rsidRPr="00CD1FD1">
        <w:rPr>
          <w:rFonts w:ascii="Museo Sans 300" w:hAnsi="Museo Sans 300"/>
          <w:b/>
          <w:sz w:val="22"/>
          <w:szCs w:val="22"/>
          <w:lang w:val="es-MX"/>
        </w:rPr>
        <w:t>NEXOS</w:t>
      </w:r>
      <w:bookmarkEnd w:id="70"/>
      <w:bookmarkEnd w:id="71"/>
    </w:p>
    <w:p w:rsidR="00620488" w:rsidRPr="00CD1FD1" w:rsidRDefault="00620488" w:rsidP="004A685A">
      <w:pPr>
        <w:jc w:val="both"/>
        <w:rPr>
          <w:rFonts w:ascii="Museo Sans 300" w:hAnsi="Museo Sans 300"/>
          <w:b/>
          <w:sz w:val="22"/>
          <w:szCs w:val="22"/>
          <w:lang w:val="es-MX"/>
        </w:rPr>
      </w:pPr>
    </w:p>
    <w:p w:rsidR="00B80A8E" w:rsidRPr="00CD1FD1" w:rsidRDefault="00B80A8E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0F9B" w:rsidRPr="00CD1FD1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A019AB" w:rsidRPr="00CD1FD1" w:rsidRDefault="00A019A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8002C" w:rsidRPr="00CD1FD1" w:rsidRDefault="00D8002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B11D8" w:rsidRPr="00CD1FD1" w:rsidRDefault="00DB11D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B11D8" w:rsidRPr="00CD1FD1" w:rsidRDefault="00DB11D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B11D8" w:rsidRPr="00CD1FD1" w:rsidRDefault="00DB11D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B11D8" w:rsidRPr="00CD1FD1" w:rsidRDefault="00DB11D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B11D8" w:rsidRPr="00CD1FD1" w:rsidRDefault="00DB11D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B11D8" w:rsidRPr="00CD1FD1" w:rsidRDefault="00DB11D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1: Ejecución del SPNF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>a marzo 2022</w:t>
      </w:r>
      <w:r w:rsidR="000B748E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>-</w:t>
      </w:r>
      <w:r w:rsidR="000B748E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042C94" w:rsidRPr="00CD1FD1">
        <w:rPr>
          <w:rFonts w:ascii="Museo Sans 300" w:hAnsi="Museo Sans 300"/>
          <w:b/>
          <w:sz w:val="22"/>
          <w:szCs w:val="22"/>
          <w:lang w:val="es-MX"/>
        </w:rPr>
        <w:t>202</w:t>
      </w:r>
      <w:r w:rsidR="00391D19" w:rsidRPr="00CD1FD1">
        <w:rPr>
          <w:rFonts w:ascii="Museo Sans 300" w:hAnsi="Museo Sans 300"/>
          <w:b/>
          <w:sz w:val="22"/>
          <w:szCs w:val="22"/>
          <w:lang w:val="es-MX"/>
        </w:rPr>
        <w:t>1</w:t>
      </w:r>
    </w:p>
    <w:p w:rsidR="00620488" w:rsidRPr="00CD1FD1" w:rsidRDefault="0061270D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</w:rPr>
        <w:t xml:space="preserve"> </w:t>
      </w:r>
      <w:r w:rsidR="000B748E" w:rsidRPr="00CD1FD1">
        <w:rPr>
          <w:rFonts w:ascii="Museo Sans 300" w:hAnsi="Museo Sans 300"/>
          <w:sz w:val="22"/>
          <w:szCs w:val="22"/>
        </w:rPr>
        <w:t xml:space="preserve"> </w:t>
      </w:r>
      <w:r w:rsidR="00620488" w:rsidRPr="00CD1FD1">
        <w:rPr>
          <w:rFonts w:ascii="Museo Sans 300" w:hAnsi="Museo Sans 300"/>
          <w:b/>
          <w:sz w:val="22"/>
          <w:szCs w:val="22"/>
          <w:lang w:val="es-MX"/>
        </w:rPr>
        <w:t>(Millones de $)</w:t>
      </w:r>
    </w:p>
    <w:p w:rsidR="00FB2ADD" w:rsidRPr="00CD1FD1" w:rsidRDefault="0012688D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12688D">
        <w:rPr>
          <w:noProof/>
        </w:rPr>
        <w:drawing>
          <wp:inline distT="0" distB="0" distL="0" distR="0">
            <wp:extent cx="5971540" cy="7207400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0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70D" w:rsidRPr="00CD1FD1" w:rsidRDefault="0061270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350D29" w:rsidRPr="00CD1FD1" w:rsidRDefault="00350D2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463BB" w:rsidRPr="00CD1FD1" w:rsidRDefault="00C463B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C17B7C" w:rsidRPr="00CD1FD1" w:rsidRDefault="00C17B7C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2: </w:t>
      </w:r>
      <w:r w:rsidR="0052116C" w:rsidRPr="00CD1FD1">
        <w:rPr>
          <w:rFonts w:ascii="Museo Sans 300" w:hAnsi="Museo Sans 300"/>
          <w:b/>
          <w:sz w:val="22"/>
          <w:szCs w:val="22"/>
          <w:lang w:val="es-MX"/>
        </w:rPr>
        <w:t xml:space="preserve">Ejecución del SPNF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>a marzo 2022</w:t>
      </w:r>
      <w:r w:rsidR="0052116C" w:rsidRPr="00CD1FD1">
        <w:rPr>
          <w:rFonts w:ascii="Museo Sans 300" w:hAnsi="Museo Sans 300"/>
          <w:b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b/>
          <w:sz w:val="22"/>
          <w:szCs w:val="22"/>
          <w:lang w:val="es-MX"/>
        </w:rPr>
        <w:t>202</w:t>
      </w:r>
      <w:r w:rsidR="00E5417D" w:rsidRPr="00CD1FD1">
        <w:rPr>
          <w:rFonts w:ascii="Museo Sans 300" w:hAnsi="Museo Sans 300"/>
          <w:b/>
          <w:sz w:val="22"/>
          <w:szCs w:val="22"/>
          <w:lang w:val="es-MX"/>
        </w:rPr>
        <w:t>1</w:t>
      </w: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(Porcentajes del PIB)</w:t>
      </w:r>
    </w:p>
    <w:p w:rsidR="00936D5E" w:rsidRPr="00CD1FD1" w:rsidRDefault="00936D5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FB2ADD" w:rsidRPr="00CD1FD1" w:rsidRDefault="0012688D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12688D">
        <w:rPr>
          <w:noProof/>
        </w:rPr>
        <w:drawing>
          <wp:inline distT="0" distB="0" distL="0" distR="0">
            <wp:extent cx="5328990" cy="7668000"/>
            <wp:effectExtent l="0" t="0" r="508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966" cy="76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67" w:rsidRPr="00CD1FD1" w:rsidRDefault="00123067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>Anexo 3</w:t>
      </w:r>
      <w:r w:rsidR="003D10A0" w:rsidRPr="00CD1FD1">
        <w:rPr>
          <w:rFonts w:ascii="Museo Sans 300" w:hAnsi="Museo Sans 300"/>
          <w:b/>
          <w:sz w:val="22"/>
          <w:szCs w:val="22"/>
          <w:lang w:val="es-MX"/>
        </w:rPr>
        <w:t>: Ingresos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AA301A" w:rsidRPr="00CD1FD1">
        <w:rPr>
          <w:rFonts w:ascii="Museo Sans 300" w:hAnsi="Museo Sans 300"/>
          <w:b/>
          <w:sz w:val="22"/>
          <w:szCs w:val="22"/>
          <w:lang w:val="es-MX"/>
        </w:rPr>
        <w:t xml:space="preserve">Totales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del </w:t>
      </w:r>
      <w:r w:rsidR="00AA301A" w:rsidRPr="00CD1FD1">
        <w:rPr>
          <w:rFonts w:ascii="Museo Sans 300" w:hAnsi="Museo Sans 300"/>
          <w:b/>
          <w:sz w:val="22"/>
          <w:szCs w:val="22"/>
          <w:lang w:val="es-MX"/>
        </w:rPr>
        <w:t xml:space="preserve">Sector </w:t>
      </w:r>
      <w:r w:rsidR="00DB11D8" w:rsidRPr="00CD1FD1">
        <w:rPr>
          <w:rFonts w:ascii="Museo Sans 300" w:hAnsi="Museo Sans 300"/>
          <w:b/>
          <w:sz w:val="22"/>
          <w:szCs w:val="22"/>
          <w:lang w:val="es-MX"/>
        </w:rPr>
        <w:t>P</w:t>
      </w:r>
      <w:r w:rsidR="00AA301A" w:rsidRPr="00CD1FD1">
        <w:rPr>
          <w:rFonts w:ascii="Museo Sans 300" w:hAnsi="Museo Sans 300"/>
          <w:b/>
          <w:sz w:val="22"/>
          <w:szCs w:val="22"/>
          <w:lang w:val="es-MX"/>
        </w:rPr>
        <w:t>úblico No Financiero</w:t>
      </w:r>
      <w:r w:rsidR="000A0064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>a marzo 2022</w:t>
      </w: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(Millones $)</w:t>
      </w:r>
    </w:p>
    <w:p w:rsidR="00936D5E" w:rsidRPr="00CD1FD1" w:rsidRDefault="00936D5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CD1FD1" w:rsidRDefault="00C36624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>
            <wp:extent cx="5971540" cy="44609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6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88" w:rsidRPr="00CD1FD1" w:rsidRDefault="00620488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DC7D4F" w:rsidRPr="00CD1FD1" w:rsidRDefault="00DC7D4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351330" w:rsidRPr="00CD1FD1" w:rsidRDefault="00351330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4552A7" w:rsidRPr="00CD1FD1" w:rsidRDefault="004552A7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207BF" w:rsidRPr="00CD1FD1" w:rsidRDefault="002207B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2207BF" w:rsidRPr="00CD1FD1" w:rsidRDefault="002207BF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0B7385" w:rsidRPr="00CD1FD1" w:rsidRDefault="000B7385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:rsidR="00C87D60" w:rsidRPr="00CD1FD1" w:rsidRDefault="00C87D60" w:rsidP="00EC7984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4: Ejecución de la Inversión Pública del SPNF </w:t>
      </w:r>
      <w:r w:rsidR="006A326C" w:rsidRPr="00CD1FD1">
        <w:rPr>
          <w:rFonts w:ascii="Museo Sans 300" w:hAnsi="Museo Sans 300"/>
          <w:b/>
          <w:sz w:val="22"/>
          <w:szCs w:val="22"/>
          <w:lang w:val="es-MX"/>
        </w:rPr>
        <w:t>a marzo de 2022</w:t>
      </w:r>
    </w:p>
    <w:p w:rsidR="003B6415" w:rsidRDefault="003B6415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t>(En millones de US$)</w:t>
      </w:r>
    </w:p>
    <w:p w:rsidR="00593A7A" w:rsidRPr="00CD1FD1" w:rsidRDefault="00593A7A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936D5E" w:rsidRPr="00CD1FD1" w:rsidRDefault="000D0EF9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 wp14:anchorId="6727C1EB" wp14:editId="7B474F66">
            <wp:extent cx="4577835" cy="7386534"/>
            <wp:effectExtent l="0" t="0" r="0" b="508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47" cy="740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C4" w:rsidRPr="00CD1FD1" w:rsidRDefault="003C3DC4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35404D" w:rsidRPr="00CD1FD1" w:rsidRDefault="0035404D">
      <w:pPr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br w:type="page"/>
      </w: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>Anexo</w:t>
      </w:r>
      <w:r w:rsidR="004066E9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 xml:space="preserve">5: Saldo de la Deuda del SPNF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>a marzo 2022</w:t>
      </w:r>
      <w:r w:rsidRPr="00CD1FD1">
        <w:rPr>
          <w:rFonts w:ascii="Museo Sans 300" w:hAnsi="Museo Sans 300"/>
          <w:b/>
          <w:sz w:val="22"/>
          <w:szCs w:val="22"/>
          <w:lang w:val="es-MX"/>
        </w:rPr>
        <w:t>-</w:t>
      </w:r>
      <w:r w:rsidR="00042C94" w:rsidRPr="00CD1FD1">
        <w:rPr>
          <w:rFonts w:ascii="Museo Sans 300" w:hAnsi="Museo Sans 300"/>
          <w:b/>
          <w:sz w:val="22"/>
          <w:szCs w:val="22"/>
          <w:lang w:val="es-MX"/>
        </w:rPr>
        <w:t>202</w:t>
      </w:r>
      <w:r w:rsidR="003C3DC4" w:rsidRPr="00CD1FD1">
        <w:rPr>
          <w:rFonts w:ascii="Museo Sans 300" w:hAnsi="Museo Sans 300"/>
          <w:b/>
          <w:sz w:val="22"/>
          <w:szCs w:val="22"/>
          <w:lang w:val="es-MX"/>
        </w:rPr>
        <w:t>1</w:t>
      </w:r>
    </w:p>
    <w:p w:rsidR="00620488" w:rsidRDefault="004066E9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</w:rPr>
        <w:t xml:space="preserve"> </w:t>
      </w:r>
      <w:r w:rsidR="00620488" w:rsidRPr="00CD1FD1">
        <w:rPr>
          <w:rFonts w:ascii="Museo Sans 300" w:hAnsi="Museo Sans 300"/>
          <w:b/>
          <w:sz w:val="22"/>
          <w:szCs w:val="22"/>
          <w:lang w:val="es-MX"/>
        </w:rPr>
        <w:t>(Millones de $ y % del PIB)</w:t>
      </w:r>
    </w:p>
    <w:p w:rsidR="004552A7" w:rsidRPr="00CD1FD1" w:rsidRDefault="004552A7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F51C4" w:rsidRPr="00CD1FD1" w:rsidRDefault="004552A7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4552A7">
        <w:rPr>
          <w:noProof/>
        </w:rPr>
        <w:drawing>
          <wp:inline distT="0" distB="0" distL="0" distR="0">
            <wp:extent cx="5225022" cy="7675200"/>
            <wp:effectExtent l="0" t="0" r="0" b="254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15" cy="76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98" w:rsidRPr="00CD1FD1" w:rsidRDefault="00654098" w:rsidP="00E662B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:rsidR="00620488" w:rsidRPr="00CD1FD1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6: Saldo, colocaciones y pagos de LETES </w:t>
      </w:r>
      <w:r w:rsidR="00355D4B" w:rsidRPr="00CD1FD1">
        <w:rPr>
          <w:rFonts w:ascii="Museo Sans 300" w:hAnsi="Museo Sans 300"/>
          <w:b/>
          <w:sz w:val="22"/>
          <w:szCs w:val="22"/>
          <w:lang w:val="es-MX"/>
        </w:rPr>
        <w:t>a marzo 2022</w:t>
      </w:r>
      <w:r w:rsidR="0006124F" w:rsidRPr="00CD1FD1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:rsidR="00620488" w:rsidRPr="00CD1FD1" w:rsidRDefault="004066E9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D1FD1">
        <w:rPr>
          <w:rFonts w:ascii="Museo Sans 300" w:hAnsi="Museo Sans 300"/>
          <w:sz w:val="22"/>
          <w:szCs w:val="22"/>
        </w:rPr>
        <w:t xml:space="preserve"> </w:t>
      </w:r>
      <w:r w:rsidR="00620488" w:rsidRPr="00CD1FD1">
        <w:rPr>
          <w:rFonts w:ascii="Museo Sans 300" w:hAnsi="Museo Sans 300"/>
          <w:b/>
          <w:sz w:val="22"/>
          <w:szCs w:val="22"/>
          <w:lang w:val="es-MX"/>
        </w:rPr>
        <w:t>(Millones de $)</w:t>
      </w:r>
      <w:bookmarkEnd w:id="43"/>
    </w:p>
    <w:p w:rsidR="006E7D0E" w:rsidRPr="00CD1FD1" w:rsidRDefault="006E7D0E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54098" w:rsidRPr="00CD1FD1" w:rsidRDefault="00C36624" w:rsidP="002C79A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CD1FD1">
        <w:rPr>
          <w:rFonts w:ascii="Museo Sans 300" w:hAnsi="Museo Sans 300"/>
          <w:noProof/>
          <w:sz w:val="22"/>
          <w:szCs w:val="22"/>
        </w:rPr>
        <w:drawing>
          <wp:inline distT="0" distB="0" distL="0" distR="0">
            <wp:extent cx="5971540" cy="440137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40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098" w:rsidRPr="00CD1FD1" w:rsidSect="00D703ED">
      <w:footerReference w:type="default" r:id="rId30"/>
      <w:pgSz w:w="12240" w:h="15840"/>
      <w:pgMar w:top="1418" w:right="1418" w:bottom="12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2E6" w:rsidRDefault="003A52E6" w:rsidP="00610721">
      <w:r>
        <w:separator/>
      </w:r>
    </w:p>
  </w:endnote>
  <w:endnote w:type="continuationSeparator" w:id="0">
    <w:p w:rsidR="003A52E6" w:rsidRDefault="003A52E6" w:rsidP="0061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ED" w:rsidRDefault="000A43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CD0120">
      <w:rPr>
        <w:noProof/>
        <w:lang w:val="es-ES"/>
      </w:rPr>
      <w:t>26</w:t>
    </w:r>
    <w:r>
      <w:fldChar w:fldCharType="end"/>
    </w:r>
  </w:p>
  <w:p w:rsidR="000A43ED" w:rsidRDefault="000A4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2E6" w:rsidRDefault="003A52E6" w:rsidP="00610721">
      <w:r>
        <w:separator/>
      </w:r>
    </w:p>
  </w:footnote>
  <w:footnote w:type="continuationSeparator" w:id="0">
    <w:p w:rsidR="003A52E6" w:rsidRDefault="003A52E6" w:rsidP="00610721">
      <w:r>
        <w:continuationSeparator/>
      </w:r>
    </w:p>
  </w:footnote>
  <w:footnote w:id="1">
    <w:p w:rsidR="005B3920" w:rsidRPr="00C7623F" w:rsidRDefault="005B3920" w:rsidP="005B3920">
      <w:pPr>
        <w:pStyle w:val="FootnoteText"/>
        <w:rPr>
          <w:lang w:val="es-SV"/>
        </w:rPr>
      </w:pPr>
      <w:r>
        <w:rPr>
          <w:rStyle w:val="FootnoteReference"/>
        </w:rPr>
        <w:footnoteRef/>
      </w:r>
      <w:r>
        <w:t xml:space="preserve"> </w:t>
      </w:r>
      <w:r w:rsidRPr="00C7623F">
        <w:rPr>
          <w:rFonts w:ascii="Candara" w:hAnsi="Candara"/>
          <w:i/>
        </w:rPr>
        <w:t>excluye el pago de intereses de la deuda pública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C32"/>
    <w:multiLevelType w:val="hybridMultilevel"/>
    <w:tmpl w:val="AAB0A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02"/>
    <w:multiLevelType w:val="hybridMultilevel"/>
    <w:tmpl w:val="A6BC2F18"/>
    <w:lvl w:ilvl="0" w:tplc="8E9A18B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395"/>
    <w:multiLevelType w:val="hybridMultilevel"/>
    <w:tmpl w:val="DF14B9F6"/>
    <w:lvl w:ilvl="0" w:tplc="CC30CB54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4BB"/>
    <w:multiLevelType w:val="hybridMultilevel"/>
    <w:tmpl w:val="6298C25E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2BB2911"/>
    <w:multiLevelType w:val="hybridMultilevel"/>
    <w:tmpl w:val="F90C0182"/>
    <w:lvl w:ilvl="0" w:tplc="4E36E7EC">
      <w:start w:val="2"/>
      <w:numFmt w:val="bullet"/>
      <w:lvlText w:val="-"/>
      <w:lvlJc w:val="left"/>
      <w:pPr>
        <w:ind w:left="305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5" w15:restartNumberingAfterBreak="0">
    <w:nsid w:val="240F0F22"/>
    <w:multiLevelType w:val="hybridMultilevel"/>
    <w:tmpl w:val="CC28AE1A"/>
    <w:lvl w:ilvl="0" w:tplc="DE96AF40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357"/>
    <w:multiLevelType w:val="hybridMultilevel"/>
    <w:tmpl w:val="FD8ECF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8F4"/>
    <w:multiLevelType w:val="hybridMultilevel"/>
    <w:tmpl w:val="D4A43B78"/>
    <w:lvl w:ilvl="0" w:tplc="1B5AA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649"/>
    <w:multiLevelType w:val="hybridMultilevel"/>
    <w:tmpl w:val="8AA6A6F0"/>
    <w:lvl w:ilvl="0" w:tplc="440A0017">
      <w:start w:val="1"/>
      <w:numFmt w:val="lowerLetter"/>
      <w:lvlText w:val="%1)"/>
      <w:lvlJc w:val="left"/>
      <w:pPr>
        <w:ind w:left="786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270A0"/>
    <w:multiLevelType w:val="hybridMultilevel"/>
    <w:tmpl w:val="CDFCB7C0"/>
    <w:lvl w:ilvl="0" w:tplc="4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457E389F"/>
    <w:multiLevelType w:val="hybridMultilevel"/>
    <w:tmpl w:val="8402E16C"/>
    <w:lvl w:ilvl="0" w:tplc="4314EC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68704B"/>
    <w:multiLevelType w:val="multilevel"/>
    <w:tmpl w:val="57BAFE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BA2745"/>
    <w:multiLevelType w:val="hybridMultilevel"/>
    <w:tmpl w:val="BEDC7E22"/>
    <w:lvl w:ilvl="0" w:tplc="D116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7E1"/>
    <w:multiLevelType w:val="hybridMultilevel"/>
    <w:tmpl w:val="7E8A0978"/>
    <w:lvl w:ilvl="0" w:tplc="98F0C3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40A0019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5A1B1F"/>
    <w:multiLevelType w:val="hybridMultilevel"/>
    <w:tmpl w:val="31AAB91E"/>
    <w:lvl w:ilvl="0" w:tplc="440A0017">
      <w:start w:val="1"/>
      <w:numFmt w:val="lowerLetter"/>
      <w:lvlText w:val="%1)"/>
      <w:lvlJc w:val="left"/>
      <w:pPr>
        <w:ind w:left="1004" w:hanging="360"/>
      </w:p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BE67EF"/>
    <w:multiLevelType w:val="hybridMultilevel"/>
    <w:tmpl w:val="F8E898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32790"/>
    <w:multiLevelType w:val="hybridMultilevel"/>
    <w:tmpl w:val="C680A566"/>
    <w:lvl w:ilvl="0" w:tplc="DA36E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3AD1"/>
    <w:multiLevelType w:val="hybridMultilevel"/>
    <w:tmpl w:val="548E3404"/>
    <w:lvl w:ilvl="0" w:tplc="E710CCE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46B4"/>
    <w:multiLevelType w:val="hybridMultilevel"/>
    <w:tmpl w:val="185CFC94"/>
    <w:lvl w:ilvl="0" w:tplc="594EA218">
      <w:numFmt w:val="bullet"/>
      <w:lvlText w:val="-"/>
      <w:lvlJc w:val="left"/>
      <w:pPr>
        <w:ind w:left="3675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9" w15:restartNumberingAfterBreak="0">
    <w:nsid w:val="76003CB1"/>
    <w:multiLevelType w:val="multilevel"/>
    <w:tmpl w:val="A62E9E88"/>
    <w:lvl w:ilvl="0">
      <w:start w:val="1"/>
      <w:numFmt w:val="decimal"/>
      <w:lvlRestart w:val="0"/>
      <w:pStyle w:val="Outline1L1"/>
      <w:lvlText w:val="%1."/>
      <w:lvlJc w:val="left"/>
      <w:pPr>
        <w:tabs>
          <w:tab w:val="num" w:pos="2139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Outline1L2"/>
      <w:lvlText w:val="%2."/>
      <w:lvlJc w:val="left"/>
      <w:pPr>
        <w:tabs>
          <w:tab w:val="num" w:pos="1531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Outline1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pStyle w:val="Outline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Outline1L5"/>
      <w:lvlText w:val="(%5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Outline1L6"/>
      <w:lvlText w:val="(%6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78954222"/>
    <w:multiLevelType w:val="hybridMultilevel"/>
    <w:tmpl w:val="3EFA8EDA"/>
    <w:lvl w:ilvl="0" w:tplc="18280B5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8"/>
  </w:num>
  <w:num w:numId="7">
    <w:abstractNumId w:val="1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F5"/>
    <w:rsid w:val="00002A15"/>
    <w:rsid w:val="00003DBE"/>
    <w:rsid w:val="00003E71"/>
    <w:rsid w:val="000044A6"/>
    <w:rsid w:val="00004AC1"/>
    <w:rsid w:val="00005394"/>
    <w:rsid w:val="00005DE7"/>
    <w:rsid w:val="000060C4"/>
    <w:rsid w:val="0000636C"/>
    <w:rsid w:val="0000767E"/>
    <w:rsid w:val="00007F40"/>
    <w:rsid w:val="000107EC"/>
    <w:rsid w:val="000125BF"/>
    <w:rsid w:val="000129CE"/>
    <w:rsid w:val="00013FBA"/>
    <w:rsid w:val="00014440"/>
    <w:rsid w:val="00014666"/>
    <w:rsid w:val="0001700F"/>
    <w:rsid w:val="00024EB8"/>
    <w:rsid w:val="0002562B"/>
    <w:rsid w:val="00026278"/>
    <w:rsid w:val="0003199D"/>
    <w:rsid w:val="00032F0C"/>
    <w:rsid w:val="00033BDB"/>
    <w:rsid w:val="000350BD"/>
    <w:rsid w:val="00035936"/>
    <w:rsid w:val="000368FE"/>
    <w:rsid w:val="00036A8F"/>
    <w:rsid w:val="00036C58"/>
    <w:rsid w:val="00042C94"/>
    <w:rsid w:val="00045C77"/>
    <w:rsid w:val="00046DCB"/>
    <w:rsid w:val="00046F1C"/>
    <w:rsid w:val="00047EAE"/>
    <w:rsid w:val="000504B7"/>
    <w:rsid w:val="00050721"/>
    <w:rsid w:val="00051CE0"/>
    <w:rsid w:val="00055088"/>
    <w:rsid w:val="00055C6D"/>
    <w:rsid w:val="000563D5"/>
    <w:rsid w:val="0005706F"/>
    <w:rsid w:val="00057E16"/>
    <w:rsid w:val="0006008B"/>
    <w:rsid w:val="0006124F"/>
    <w:rsid w:val="00063635"/>
    <w:rsid w:val="000655D5"/>
    <w:rsid w:val="00065616"/>
    <w:rsid w:val="00067A82"/>
    <w:rsid w:val="0007071E"/>
    <w:rsid w:val="00071875"/>
    <w:rsid w:val="00072BB0"/>
    <w:rsid w:val="0007316A"/>
    <w:rsid w:val="000737F7"/>
    <w:rsid w:val="00073DF6"/>
    <w:rsid w:val="00073ED0"/>
    <w:rsid w:val="00074856"/>
    <w:rsid w:val="000766A1"/>
    <w:rsid w:val="0007724F"/>
    <w:rsid w:val="00077425"/>
    <w:rsid w:val="00080493"/>
    <w:rsid w:val="0008095D"/>
    <w:rsid w:val="00080BF7"/>
    <w:rsid w:val="00081874"/>
    <w:rsid w:val="000827C3"/>
    <w:rsid w:val="00083368"/>
    <w:rsid w:val="000850BF"/>
    <w:rsid w:val="00085376"/>
    <w:rsid w:val="00090A01"/>
    <w:rsid w:val="00091CEA"/>
    <w:rsid w:val="00091E47"/>
    <w:rsid w:val="00092055"/>
    <w:rsid w:val="00092B07"/>
    <w:rsid w:val="000932FA"/>
    <w:rsid w:val="000933AC"/>
    <w:rsid w:val="000938EC"/>
    <w:rsid w:val="000947A2"/>
    <w:rsid w:val="00095A8C"/>
    <w:rsid w:val="000962EE"/>
    <w:rsid w:val="000A0064"/>
    <w:rsid w:val="000A05C1"/>
    <w:rsid w:val="000A099C"/>
    <w:rsid w:val="000A1ECC"/>
    <w:rsid w:val="000A36F3"/>
    <w:rsid w:val="000A43ED"/>
    <w:rsid w:val="000A4F43"/>
    <w:rsid w:val="000A6355"/>
    <w:rsid w:val="000B0C19"/>
    <w:rsid w:val="000B0EA6"/>
    <w:rsid w:val="000B1B60"/>
    <w:rsid w:val="000B28C1"/>
    <w:rsid w:val="000B2D4F"/>
    <w:rsid w:val="000B31AE"/>
    <w:rsid w:val="000B32B3"/>
    <w:rsid w:val="000B427B"/>
    <w:rsid w:val="000B42D8"/>
    <w:rsid w:val="000B4C23"/>
    <w:rsid w:val="000B5129"/>
    <w:rsid w:val="000B6214"/>
    <w:rsid w:val="000B7219"/>
    <w:rsid w:val="000B7385"/>
    <w:rsid w:val="000B748E"/>
    <w:rsid w:val="000B7871"/>
    <w:rsid w:val="000C0647"/>
    <w:rsid w:val="000C08C9"/>
    <w:rsid w:val="000C0E74"/>
    <w:rsid w:val="000C2D4E"/>
    <w:rsid w:val="000C47AE"/>
    <w:rsid w:val="000C6FC2"/>
    <w:rsid w:val="000C7415"/>
    <w:rsid w:val="000D0149"/>
    <w:rsid w:val="000D0EF9"/>
    <w:rsid w:val="000D207D"/>
    <w:rsid w:val="000D2121"/>
    <w:rsid w:val="000D3EF4"/>
    <w:rsid w:val="000D3F00"/>
    <w:rsid w:val="000D45B5"/>
    <w:rsid w:val="000D576E"/>
    <w:rsid w:val="000D61F4"/>
    <w:rsid w:val="000E0CCD"/>
    <w:rsid w:val="000E3D52"/>
    <w:rsid w:val="000E40ED"/>
    <w:rsid w:val="000E7DEC"/>
    <w:rsid w:val="000F2598"/>
    <w:rsid w:val="000F3F1D"/>
    <w:rsid w:val="000F5152"/>
    <w:rsid w:val="000F6407"/>
    <w:rsid w:val="000F7482"/>
    <w:rsid w:val="000F7857"/>
    <w:rsid w:val="00101DFA"/>
    <w:rsid w:val="00103F6B"/>
    <w:rsid w:val="00105ABD"/>
    <w:rsid w:val="00106534"/>
    <w:rsid w:val="00110940"/>
    <w:rsid w:val="0011125B"/>
    <w:rsid w:val="00120199"/>
    <w:rsid w:val="00120C00"/>
    <w:rsid w:val="00121393"/>
    <w:rsid w:val="00121B44"/>
    <w:rsid w:val="001228A5"/>
    <w:rsid w:val="00123067"/>
    <w:rsid w:val="0012502A"/>
    <w:rsid w:val="00125881"/>
    <w:rsid w:val="0012602E"/>
    <w:rsid w:val="0012688D"/>
    <w:rsid w:val="00133419"/>
    <w:rsid w:val="00134372"/>
    <w:rsid w:val="0013549A"/>
    <w:rsid w:val="00135EAC"/>
    <w:rsid w:val="00135FB8"/>
    <w:rsid w:val="001366A0"/>
    <w:rsid w:val="00136F4C"/>
    <w:rsid w:val="00137776"/>
    <w:rsid w:val="00137B38"/>
    <w:rsid w:val="0014194D"/>
    <w:rsid w:val="0014197A"/>
    <w:rsid w:val="00142BDD"/>
    <w:rsid w:val="00143C05"/>
    <w:rsid w:val="00145091"/>
    <w:rsid w:val="00146B37"/>
    <w:rsid w:val="00150E30"/>
    <w:rsid w:val="00151522"/>
    <w:rsid w:val="00151722"/>
    <w:rsid w:val="001521BC"/>
    <w:rsid w:val="00153163"/>
    <w:rsid w:val="001536B2"/>
    <w:rsid w:val="0015449B"/>
    <w:rsid w:val="00154F8E"/>
    <w:rsid w:val="001553A6"/>
    <w:rsid w:val="001564E8"/>
    <w:rsid w:val="00163FA1"/>
    <w:rsid w:val="00164E11"/>
    <w:rsid w:val="00165910"/>
    <w:rsid w:val="00167CCD"/>
    <w:rsid w:val="00167F36"/>
    <w:rsid w:val="00170628"/>
    <w:rsid w:val="00170BAE"/>
    <w:rsid w:val="00173880"/>
    <w:rsid w:val="00173EC7"/>
    <w:rsid w:val="00174C2A"/>
    <w:rsid w:val="001753A7"/>
    <w:rsid w:val="00176150"/>
    <w:rsid w:val="00176184"/>
    <w:rsid w:val="00177FFE"/>
    <w:rsid w:val="00180154"/>
    <w:rsid w:val="00180642"/>
    <w:rsid w:val="0018146E"/>
    <w:rsid w:val="00182A89"/>
    <w:rsid w:val="00184DB4"/>
    <w:rsid w:val="001876A8"/>
    <w:rsid w:val="001902A4"/>
    <w:rsid w:val="001909E4"/>
    <w:rsid w:val="00190B09"/>
    <w:rsid w:val="00190F50"/>
    <w:rsid w:val="001910E2"/>
    <w:rsid w:val="00191565"/>
    <w:rsid w:val="00193C94"/>
    <w:rsid w:val="001942CF"/>
    <w:rsid w:val="001942E2"/>
    <w:rsid w:val="00194BB2"/>
    <w:rsid w:val="00194D12"/>
    <w:rsid w:val="00194FEF"/>
    <w:rsid w:val="001965FB"/>
    <w:rsid w:val="001968FE"/>
    <w:rsid w:val="0019773D"/>
    <w:rsid w:val="001A0A78"/>
    <w:rsid w:val="001A2FDC"/>
    <w:rsid w:val="001A37E6"/>
    <w:rsid w:val="001A49A6"/>
    <w:rsid w:val="001A5F4B"/>
    <w:rsid w:val="001A7412"/>
    <w:rsid w:val="001B0E38"/>
    <w:rsid w:val="001B1625"/>
    <w:rsid w:val="001B3135"/>
    <w:rsid w:val="001B3951"/>
    <w:rsid w:val="001B3A46"/>
    <w:rsid w:val="001B4677"/>
    <w:rsid w:val="001B4A0A"/>
    <w:rsid w:val="001B4B16"/>
    <w:rsid w:val="001B5B81"/>
    <w:rsid w:val="001B73D1"/>
    <w:rsid w:val="001B7B61"/>
    <w:rsid w:val="001C00F7"/>
    <w:rsid w:val="001C0639"/>
    <w:rsid w:val="001C3356"/>
    <w:rsid w:val="001C3602"/>
    <w:rsid w:val="001C450E"/>
    <w:rsid w:val="001C4836"/>
    <w:rsid w:val="001C5CA7"/>
    <w:rsid w:val="001C7F84"/>
    <w:rsid w:val="001D0021"/>
    <w:rsid w:val="001D0083"/>
    <w:rsid w:val="001D0BF2"/>
    <w:rsid w:val="001D135A"/>
    <w:rsid w:val="001D261B"/>
    <w:rsid w:val="001D3263"/>
    <w:rsid w:val="001D7D68"/>
    <w:rsid w:val="001E11BF"/>
    <w:rsid w:val="001E160B"/>
    <w:rsid w:val="001E1C63"/>
    <w:rsid w:val="001E1FEB"/>
    <w:rsid w:val="001E30F7"/>
    <w:rsid w:val="001E4553"/>
    <w:rsid w:val="001E765F"/>
    <w:rsid w:val="001F21F6"/>
    <w:rsid w:val="001F3310"/>
    <w:rsid w:val="001F3912"/>
    <w:rsid w:val="001F50C9"/>
    <w:rsid w:val="001F6DC0"/>
    <w:rsid w:val="00200744"/>
    <w:rsid w:val="00201628"/>
    <w:rsid w:val="00203AF4"/>
    <w:rsid w:val="002053D6"/>
    <w:rsid w:val="002056DE"/>
    <w:rsid w:val="00206A51"/>
    <w:rsid w:val="00206D87"/>
    <w:rsid w:val="00212E93"/>
    <w:rsid w:val="002132B3"/>
    <w:rsid w:val="002144EA"/>
    <w:rsid w:val="00214645"/>
    <w:rsid w:val="00216005"/>
    <w:rsid w:val="00216368"/>
    <w:rsid w:val="00217169"/>
    <w:rsid w:val="002204C7"/>
    <w:rsid w:val="00220653"/>
    <w:rsid w:val="002207BF"/>
    <w:rsid w:val="0022571A"/>
    <w:rsid w:val="0022689B"/>
    <w:rsid w:val="00226B11"/>
    <w:rsid w:val="00226DE2"/>
    <w:rsid w:val="00227E46"/>
    <w:rsid w:val="002311FD"/>
    <w:rsid w:val="00231A48"/>
    <w:rsid w:val="00231F0C"/>
    <w:rsid w:val="00233051"/>
    <w:rsid w:val="002332A9"/>
    <w:rsid w:val="00234570"/>
    <w:rsid w:val="00235C31"/>
    <w:rsid w:val="00235F12"/>
    <w:rsid w:val="002407F1"/>
    <w:rsid w:val="00241A25"/>
    <w:rsid w:val="00242E64"/>
    <w:rsid w:val="002441FD"/>
    <w:rsid w:val="00244359"/>
    <w:rsid w:val="002464BF"/>
    <w:rsid w:val="00251374"/>
    <w:rsid w:val="00251547"/>
    <w:rsid w:val="002520D9"/>
    <w:rsid w:val="00256608"/>
    <w:rsid w:val="0026097D"/>
    <w:rsid w:val="00262E33"/>
    <w:rsid w:val="00262F33"/>
    <w:rsid w:val="0026607B"/>
    <w:rsid w:val="002679B5"/>
    <w:rsid w:val="00267DFC"/>
    <w:rsid w:val="00270CC7"/>
    <w:rsid w:val="00272A8F"/>
    <w:rsid w:val="00276377"/>
    <w:rsid w:val="002766D8"/>
    <w:rsid w:val="00280D3C"/>
    <w:rsid w:val="0028261B"/>
    <w:rsid w:val="00282977"/>
    <w:rsid w:val="00283D97"/>
    <w:rsid w:val="00286327"/>
    <w:rsid w:val="0028723E"/>
    <w:rsid w:val="002874F2"/>
    <w:rsid w:val="00287807"/>
    <w:rsid w:val="00290D10"/>
    <w:rsid w:val="00291B03"/>
    <w:rsid w:val="00292299"/>
    <w:rsid w:val="002928EA"/>
    <w:rsid w:val="00292F86"/>
    <w:rsid w:val="002A0027"/>
    <w:rsid w:val="002A0964"/>
    <w:rsid w:val="002A147C"/>
    <w:rsid w:val="002A264C"/>
    <w:rsid w:val="002A2E39"/>
    <w:rsid w:val="002A37DF"/>
    <w:rsid w:val="002A48AD"/>
    <w:rsid w:val="002A59F7"/>
    <w:rsid w:val="002A7A67"/>
    <w:rsid w:val="002B07DA"/>
    <w:rsid w:val="002B0B6C"/>
    <w:rsid w:val="002B2116"/>
    <w:rsid w:val="002B214B"/>
    <w:rsid w:val="002B2D0E"/>
    <w:rsid w:val="002B3D07"/>
    <w:rsid w:val="002B4222"/>
    <w:rsid w:val="002B45FB"/>
    <w:rsid w:val="002B48D7"/>
    <w:rsid w:val="002B696D"/>
    <w:rsid w:val="002C22E7"/>
    <w:rsid w:val="002C3B4A"/>
    <w:rsid w:val="002C3C06"/>
    <w:rsid w:val="002C5629"/>
    <w:rsid w:val="002C5F4D"/>
    <w:rsid w:val="002C6F24"/>
    <w:rsid w:val="002C79A8"/>
    <w:rsid w:val="002D01D4"/>
    <w:rsid w:val="002D0CAC"/>
    <w:rsid w:val="002D2C69"/>
    <w:rsid w:val="002D2D0A"/>
    <w:rsid w:val="002D4F30"/>
    <w:rsid w:val="002D5BD4"/>
    <w:rsid w:val="002E1B9C"/>
    <w:rsid w:val="002E1F4E"/>
    <w:rsid w:val="002E2F08"/>
    <w:rsid w:val="002E5A52"/>
    <w:rsid w:val="002E5DE2"/>
    <w:rsid w:val="002F0FC6"/>
    <w:rsid w:val="002F1C96"/>
    <w:rsid w:val="002F24E8"/>
    <w:rsid w:val="002F28DF"/>
    <w:rsid w:val="002F3838"/>
    <w:rsid w:val="002F3FB5"/>
    <w:rsid w:val="002F44DD"/>
    <w:rsid w:val="002F7EAB"/>
    <w:rsid w:val="003007E1"/>
    <w:rsid w:val="00302300"/>
    <w:rsid w:val="0030305A"/>
    <w:rsid w:val="0030584A"/>
    <w:rsid w:val="00307EF7"/>
    <w:rsid w:val="0031164C"/>
    <w:rsid w:val="00312079"/>
    <w:rsid w:val="0031413C"/>
    <w:rsid w:val="0031449E"/>
    <w:rsid w:val="00314E3D"/>
    <w:rsid w:val="003155C6"/>
    <w:rsid w:val="0031628B"/>
    <w:rsid w:val="00316C4E"/>
    <w:rsid w:val="003200B1"/>
    <w:rsid w:val="00322975"/>
    <w:rsid w:val="00324C0A"/>
    <w:rsid w:val="003259AA"/>
    <w:rsid w:val="00325B93"/>
    <w:rsid w:val="00326061"/>
    <w:rsid w:val="00326C65"/>
    <w:rsid w:val="00326D1E"/>
    <w:rsid w:val="00327718"/>
    <w:rsid w:val="00327D59"/>
    <w:rsid w:val="00331CF9"/>
    <w:rsid w:val="003325EA"/>
    <w:rsid w:val="00333D48"/>
    <w:rsid w:val="0033442F"/>
    <w:rsid w:val="00334A38"/>
    <w:rsid w:val="00334CA7"/>
    <w:rsid w:val="0033678D"/>
    <w:rsid w:val="00340B9B"/>
    <w:rsid w:val="00340E6B"/>
    <w:rsid w:val="0034191D"/>
    <w:rsid w:val="0034231B"/>
    <w:rsid w:val="0034320E"/>
    <w:rsid w:val="00343303"/>
    <w:rsid w:val="00344144"/>
    <w:rsid w:val="0034467E"/>
    <w:rsid w:val="003448F3"/>
    <w:rsid w:val="003451BD"/>
    <w:rsid w:val="00345390"/>
    <w:rsid w:val="003454B9"/>
    <w:rsid w:val="00345590"/>
    <w:rsid w:val="0034685B"/>
    <w:rsid w:val="00346A83"/>
    <w:rsid w:val="00347694"/>
    <w:rsid w:val="003502E8"/>
    <w:rsid w:val="00350424"/>
    <w:rsid w:val="00350D29"/>
    <w:rsid w:val="00351219"/>
    <w:rsid w:val="00351330"/>
    <w:rsid w:val="0035232F"/>
    <w:rsid w:val="0035322E"/>
    <w:rsid w:val="00353EE6"/>
    <w:rsid w:val="0035404D"/>
    <w:rsid w:val="00354A15"/>
    <w:rsid w:val="00355BF7"/>
    <w:rsid w:val="00355D4B"/>
    <w:rsid w:val="00355FBB"/>
    <w:rsid w:val="003562F7"/>
    <w:rsid w:val="00361220"/>
    <w:rsid w:val="00365457"/>
    <w:rsid w:val="00371731"/>
    <w:rsid w:val="00371E6D"/>
    <w:rsid w:val="00373397"/>
    <w:rsid w:val="00373CBD"/>
    <w:rsid w:val="0037505A"/>
    <w:rsid w:val="00380002"/>
    <w:rsid w:val="00382BE0"/>
    <w:rsid w:val="00383CBC"/>
    <w:rsid w:val="00386BC0"/>
    <w:rsid w:val="00387F5A"/>
    <w:rsid w:val="00390F5A"/>
    <w:rsid w:val="003914B5"/>
    <w:rsid w:val="00391D10"/>
    <w:rsid w:val="00391D19"/>
    <w:rsid w:val="003925C0"/>
    <w:rsid w:val="00392F86"/>
    <w:rsid w:val="00393D4B"/>
    <w:rsid w:val="003946BF"/>
    <w:rsid w:val="0039588B"/>
    <w:rsid w:val="0039592C"/>
    <w:rsid w:val="00395A44"/>
    <w:rsid w:val="003962FB"/>
    <w:rsid w:val="00396314"/>
    <w:rsid w:val="00397B23"/>
    <w:rsid w:val="003A0898"/>
    <w:rsid w:val="003A52E6"/>
    <w:rsid w:val="003A5508"/>
    <w:rsid w:val="003A60C7"/>
    <w:rsid w:val="003A6A53"/>
    <w:rsid w:val="003B0815"/>
    <w:rsid w:val="003B0D47"/>
    <w:rsid w:val="003B2BE7"/>
    <w:rsid w:val="003B305D"/>
    <w:rsid w:val="003B4A01"/>
    <w:rsid w:val="003B5F59"/>
    <w:rsid w:val="003B6035"/>
    <w:rsid w:val="003B6415"/>
    <w:rsid w:val="003B6B58"/>
    <w:rsid w:val="003B736D"/>
    <w:rsid w:val="003C2B1E"/>
    <w:rsid w:val="003C33B3"/>
    <w:rsid w:val="003C3DC4"/>
    <w:rsid w:val="003C4732"/>
    <w:rsid w:val="003C618A"/>
    <w:rsid w:val="003C71A7"/>
    <w:rsid w:val="003C7532"/>
    <w:rsid w:val="003D01C6"/>
    <w:rsid w:val="003D0AED"/>
    <w:rsid w:val="003D10A0"/>
    <w:rsid w:val="003D1FC5"/>
    <w:rsid w:val="003D20F4"/>
    <w:rsid w:val="003D4107"/>
    <w:rsid w:val="003D46A2"/>
    <w:rsid w:val="003D7390"/>
    <w:rsid w:val="003E0088"/>
    <w:rsid w:val="003E28F3"/>
    <w:rsid w:val="003E705F"/>
    <w:rsid w:val="003E7E20"/>
    <w:rsid w:val="003E7EAD"/>
    <w:rsid w:val="003F0AF7"/>
    <w:rsid w:val="003F0B3F"/>
    <w:rsid w:val="003F173C"/>
    <w:rsid w:val="003F234D"/>
    <w:rsid w:val="003F3081"/>
    <w:rsid w:val="003F333F"/>
    <w:rsid w:val="003F6998"/>
    <w:rsid w:val="00401098"/>
    <w:rsid w:val="00404593"/>
    <w:rsid w:val="00404784"/>
    <w:rsid w:val="00404C90"/>
    <w:rsid w:val="00404D93"/>
    <w:rsid w:val="004066E9"/>
    <w:rsid w:val="00406B50"/>
    <w:rsid w:val="004112CF"/>
    <w:rsid w:val="00411F3D"/>
    <w:rsid w:val="0041229D"/>
    <w:rsid w:val="00412B47"/>
    <w:rsid w:val="00414FA5"/>
    <w:rsid w:val="0041785E"/>
    <w:rsid w:val="00420EE2"/>
    <w:rsid w:val="00423C68"/>
    <w:rsid w:val="004249A7"/>
    <w:rsid w:val="00424F80"/>
    <w:rsid w:val="00425283"/>
    <w:rsid w:val="004257AD"/>
    <w:rsid w:val="0042754D"/>
    <w:rsid w:val="00427FFA"/>
    <w:rsid w:val="00432D04"/>
    <w:rsid w:val="00432D7C"/>
    <w:rsid w:val="00440767"/>
    <w:rsid w:val="00440C09"/>
    <w:rsid w:val="004423E5"/>
    <w:rsid w:val="00442690"/>
    <w:rsid w:val="00442DE5"/>
    <w:rsid w:val="0044329E"/>
    <w:rsid w:val="0044457B"/>
    <w:rsid w:val="00444832"/>
    <w:rsid w:val="00444A54"/>
    <w:rsid w:val="004464E8"/>
    <w:rsid w:val="00447311"/>
    <w:rsid w:val="00447AE4"/>
    <w:rsid w:val="004552A7"/>
    <w:rsid w:val="00455BDD"/>
    <w:rsid w:val="00456CE0"/>
    <w:rsid w:val="004605D3"/>
    <w:rsid w:val="00461174"/>
    <w:rsid w:val="00463142"/>
    <w:rsid w:val="00464D50"/>
    <w:rsid w:val="004656B1"/>
    <w:rsid w:val="00470545"/>
    <w:rsid w:val="00471761"/>
    <w:rsid w:val="00472EA3"/>
    <w:rsid w:val="0047332F"/>
    <w:rsid w:val="004747AC"/>
    <w:rsid w:val="00476577"/>
    <w:rsid w:val="00476585"/>
    <w:rsid w:val="00477396"/>
    <w:rsid w:val="00477B44"/>
    <w:rsid w:val="0048081A"/>
    <w:rsid w:val="00481AC8"/>
    <w:rsid w:val="00483524"/>
    <w:rsid w:val="00484EE7"/>
    <w:rsid w:val="00484F7A"/>
    <w:rsid w:val="0048579E"/>
    <w:rsid w:val="004870F6"/>
    <w:rsid w:val="00490398"/>
    <w:rsid w:val="004911E6"/>
    <w:rsid w:val="004923BB"/>
    <w:rsid w:val="00495B84"/>
    <w:rsid w:val="0049611D"/>
    <w:rsid w:val="00497100"/>
    <w:rsid w:val="0049769C"/>
    <w:rsid w:val="004A5630"/>
    <w:rsid w:val="004A685A"/>
    <w:rsid w:val="004A7D32"/>
    <w:rsid w:val="004B076D"/>
    <w:rsid w:val="004B086B"/>
    <w:rsid w:val="004B0E8A"/>
    <w:rsid w:val="004B0EC9"/>
    <w:rsid w:val="004B1AD2"/>
    <w:rsid w:val="004B3A6E"/>
    <w:rsid w:val="004B4137"/>
    <w:rsid w:val="004B4B21"/>
    <w:rsid w:val="004B4D8D"/>
    <w:rsid w:val="004B51FA"/>
    <w:rsid w:val="004B6D59"/>
    <w:rsid w:val="004B7D62"/>
    <w:rsid w:val="004C19DD"/>
    <w:rsid w:val="004C27A3"/>
    <w:rsid w:val="004C2A20"/>
    <w:rsid w:val="004C388F"/>
    <w:rsid w:val="004C442A"/>
    <w:rsid w:val="004C6B3D"/>
    <w:rsid w:val="004C7832"/>
    <w:rsid w:val="004C798A"/>
    <w:rsid w:val="004D0FDB"/>
    <w:rsid w:val="004D48E8"/>
    <w:rsid w:val="004D52F8"/>
    <w:rsid w:val="004D5475"/>
    <w:rsid w:val="004D5928"/>
    <w:rsid w:val="004D610B"/>
    <w:rsid w:val="004D61A0"/>
    <w:rsid w:val="004D69E9"/>
    <w:rsid w:val="004D7470"/>
    <w:rsid w:val="004E1067"/>
    <w:rsid w:val="004E1588"/>
    <w:rsid w:val="004E2CD7"/>
    <w:rsid w:val="004E2F03"/>
    <w:rsid w:val="004E64B5"/>
    <w:rsid w:val="004E6C7E"/>
    <w:rsid w:val="004E71FF"/>
    <w:rsid w:val="004E7F64"/>
    <w:rsid w:val="004F1CB2"/>
    <w:rsid w:val="004F24E2"/>
    <w:rsid w:val="004F29B4"/>
    <w:rsid w:val="004F3C7F"/>
    <w:rsid w:val="004F4014"/>
    <w:rsid w:val="004F4FBF"/>
    <w:rsid w:val="004F599A"/>
    <w:rsid w:val="004F5B0E"/>
    <w:rsid w:val="004F752B"/>
    <w:rsid w:val="004F7889"/>
    <w:rsid w:val="004F798A"/>
    <w:rsid w:val="005007AD"/>
    <w:rsid w:val="00502982"/>
    <w:rsid w:val="005117CB"/>
    <w:rsid w:val="00512A06"/>
    <w:rsid w:val="0051302E"/>
    <w:rsid w:val="00514A25"/>
    <w:rsid w:val="00516702"/>
    <w:rsid w:val="00516E10"/>
    <w:rsid w:val="00517C55"/>
    <w:rsid w:val="00521066"/>
    <w:rsid w:val="0052116C"/>
    <w:rsid w:val="0052381F"/>
    <w:rsid w:val="005238D0"/>
    <w:rsid w:val="005253EF"/>
    <w:rsid w:val="00525D04"/>
    <w:rsid w:val="00526328"/>
    <w:rsid w:val="00530B1E"/>
    <w:rsid w:val="00531219"/>
    <w:rsid w:val="005327AE"/>
    <w:rsid w:val="00532FE5"/>
    <w:rsid w:val="00533086"/>
    <w:rsid w:val="00533421"/>
    <w:rsid w:val="00533E72"/>
    <w:rsid w:val="005346AE"/>
    <w:rsid w:val="00534A24"/>
    <w:rsid w:val="00534ED5"/>
    <w:rsid w:val="005350F6"/>
    <w:rsid w:val="005362EA"/>
    <w:rsid w:val="00536AFE"/>
    <w:rsid w:val="00537002"/>
    <w:rsid w:val="005377EC"/>
    <w:rsid w:val="005400E9"/>
    <w:rsid w:val="0054677B"/>
    <w:rsid w:val="00546B00"/>
    <w:rsid w:val="00546F81"/>
    <w:rsid w:val="00547C08"/>
    <w:rsid w:val="005525B4"/>
    <w:rsid w:val="005537E5"/>
    <w:rsid w:val="00553F35"/>
    <w:rsid w:val="00556662"/>
    <w:rsid w:val="005568F2"/>
    <w:rsid w:val="00556938"/>
    <w:rsid w:val="00560268"/>
    <w:rsid w:val="00561B8C"/>
    <w:rsid w:val="005631A4"/>
    <w:rsid w:val="00563A9A"/>
    <w:rsid w:val="00563EE7"/>
    <w:rsid w:val="005649A2"/>
    <w:rsid w:val="00565110"/>
    <w:rsid w:val="0056686F"/>
    <w:rsid w:val="00570C25"/>
    <w:rsid w:val="00572B4A"/>
    <w:rsid w:val="005767D6"/>
    <w:rsid w:val="005768FD"/>
    <w:rsid w:val="00577AFA"/>
    <w:rsid w:val="00580673"/>
    <w:rsid w:val="0058130F"/>
    <w:rsid w:val="00581B7E"/>
    <w:rsid w:val="005836C7"/>
    <w:rsid w:val="0058589C"/>
    <w:rsid w:val="00585D52"/>
    <w:rsid w:val="0058722D"/>
    <w:rsid w:val="0059027A"/>
    <w:rsid w:val="00590603"/>
    <w:rsid w:val="00591CA1"/>
    <w:rsid w:val="005924A9"/>
    <w:rsid w:val="00593A7A"/>
    <w:rsid w:val="00593B43"/>
    <w:rsid w:val="00593E2B"/>
    <w:rsid w:val="00594F1B"/>
    <w:rsid w:val="00595A01"/>
    <w:rsid w:val="005964B2"/>
    <w:rsid w:val="005964F2"/>
    <w:rsid w:val="00597BE5"/>
    <w:rsid w:val="005A155E"/>
    <w:rsid w:val="005A3C10"/>
    <w:rsid w:val="005A4B08"/>
    <w:rsid w:val="005A4EF5"/>
    <w:rsid w:val="005A54D2"/>
    <w:rsid w:val="005A641D"/>
    <w:rsid w:val="005A69DC"/>
    <w:rsid w:val="005B1FBC"/>
    <w:rsid w:val="005B3920"/>
    <w:rsid w:val="005B3F0F"/>
    <w:rsid w:val="005B4A22"/>
    <w:rsid w:val="005B58F3"/>
    <w:rsid w:val="005B7CB9"/>
    <w:rsid w:val="005C168E"/>
    <w:rsid w:val="005C2296"/>
    <w:rsid w:val="005C33AE"/>
    <w:rsid w:val="005C3F01"/>
    <w:rsid w:val="005C4917"/>
    <w:rsid w:val="005C5465"/>
    <w:rsid w:val="005C54C8"/>
    <w:rsid w:val="005C6C4D"/>
    <w:rsid w:val="005D11BE"/>
    <w:rsid w:val="005D15ED"/>
    <w:rsid w:val="005D179E"/>
    <w:rsid w:val="005D24E7"/>
    <w:rsid w:val="005D3504"/>
    <w:rsid w:val="005D4B58"/>
    <w:rsid w:val="005D5729"/>
    <w:rsid w:val="005D7D5B"/>
    <w:rsid w:val="005E0540"/>
    <w:rsid w:val="005E1A08"/>
    <w:rsid w:val="005E2F06"/>
    <w:rsid w:val="005E3176"/>
    <w:rsid w:val="005E3DA6"/>
    <w:rsid w:val="005E4441"/>
    <w:rsid w:val="005E7AAD"/>
    <w:rsid w:val="005F2D5C"/>
    <w:rsid w:val="005F34A7"/>
    <w:rsid w:val="005F69EB"/>
    <w:rsid w:val="005F72A3"/>
    <w:rsid w:val="006007E8"/>
    <w:rsid w:val="0060086D"/>
    <w:rsid w:val="00600F2E"/>
    <w:rsid w:val="0060196E"/>
    <w:rsid w:val="00604208"/>
    <w:rsid w:val="006066C6"/>
    <w:rsid w:val="0060686F"/>
    <w:rsid w:val="006079A6"/>
    <w:rsid w:val="00607F7F"/>
    <w:rsid w:val="00610721"/>
    <w:rsid w:val="0061127C"/>
    <w:rsid w:val="0061270D"/>
    <w:rsid w:val="00613FF3"/>
    <w:rsid w:val="00615490"/>
    <w:rsid w:val="006158EF"/>
    <w:rsid w:val="0061719D"/>
    <w:rsid w:val="006174EE"/>
    <w:rsid w:val="00617799"/>
    <w:rsid w:val="0061779A"/>
    <w:rsid w:val="00617FA7"/>
    <w:rsid w:val="00620488"/>
    <w:rsid w:val="00620D7F"/>
    <w:rsid w:val="00622222"/>
    <w:rsid w:val="00622AAA"/>
    <w:rsid w:val="00623B1D"/>
    <w:rsid w:val="00627524"/>
    <w:rsid w:val="00627B49"/>
    <w:rsid w:val="00630827"/>
    <w:rsid w:val="0063158D"/>
    <w:rsid w:val="006326AF"/>
    <w:rsid w:val="0063288D"/>
    <w:rsid w:val="00634117"/>
    <w:rsid w:val="0063571F"/>
    <w:rsid w:val="00642D34"/>
    <w:rsid w:val="0064377F"/>
    <w:rsid w:val="00643837"/>
    <w:rsid w:val="0064579A"/>
    <w:rsid w:val="006476ED"/>
    <w:rsid w:val="00650F9B"/>
    <w:rsid w:val="00651707"/>
    <w:rsid w:val="00652729"/>
    <w:rsid w:val="00654098"/>
    <w:rsid w:val="00656B40"/>
    <w:rsid w:val="00660D4C"/>
    <w:rsid w:val="0066123B"/>
    <w:rsid w:val="006613CD"/>
    <w:rsid w:val="006615BE"/>
    <w:rsid w:val="00661947"/>
    <w:rsid w:val="006633EF"/>
    <w:rsid w:val="00664A78"/>
    <w:rsid w:val="0066529D"/>
    <w:rsid w:val="00665FCA"/>
    <w:rsid w:val="00666300"/>
    <w:rsid w:val="00666A07"/>
    <w:rsid w:val="00671714"/>
    <w:rsid w:val="0067173D"/>
    <w:rsid w:val="00672060"/>
    <w:rsid w:val="006733D2"/>
    <w:rsid w:val="0067394A"/>
    <w:rsid w:val="00675111"/>
    <w:rsid w:val="006756D3"/>
    <w:rsid w:val="00676448"/>
    <w:rsid w:val="00677764"/>
    <w:rsid w:val="00680090"/>
    <w:rsid w:val="00681B9E"/>
    <w:rsid w:val="00682B22"/>
    <w:rsid w:val="00684829"/>
    <w:rsid w:val="00684C98"/>
    <w:rsid w:val="006854AC"/>
    <w:rsid w:val="00687CB7"/>
    <w:rsid w:val="00687F41"/>
    <w:rsid w:val="00692A69"/>
    <w:rsid w:val="00694812"/>
    <w:rsid w:val="00694B2C"/>
    <w:rsid w:val="00694C7F"/>
    <w:rsid w:val="00694F2F"/>
    <w:rsid w:val="00694FC2"/>
    <w:rsid w:val="006953B0"/>
    <w:rsid w:val="00696723"/>
    <w:rsid w:val="00696AED"/>
    <w:rsid w:val="006A0614"/>
    <w:rsid w:val="006A326C"/>
    <w:rsid w:val="006A3718"/>
    <w:rsid w:val="006A3E1B"/>
    <w:rsid w:val="006A69E2"/>
    <w:rsid w:val="006A6E94"/>
    <w:rsid w:val="006B060F"/>
    <w:rsid w:val="006B0CED"/>
    <w:rsid w:val="006B116B"/>
    <w:rsid w:val="006B1211"/>
    <w:rsid w:val="006B16F0"/>
    <w:rsid w:val="006B1E67"/>
    <w:rsid w:val="006B27AE"/>
    <w:rsid w:val="006B4FA5"/>
    <w:rsid w:val="006B57E8"/>
    <w:rsid w:val="006B616F"/>
    <w:rsid w:val="006B6EC2"/>
    <w:rsid w:val="006B7C08"/>
    <w:rsid w:val="006C3A52"/>
    <w:rsid w:val="006C6656"/>
    <w:rsid w:val="006D0A15"/>
    <w:rsid w:val="006D0DBF"/>
    <w:rsid w:val="006D2B68"/>
    <w:rsid w:val="006D364F"/>
    <w:rsid w:val="006D389E"/>
    <w:rsid w:val="006D3F0E"/>
    <w:rsid w:val="006D51C7"/>
    <w:rsid w:val="006D6008"/>
    <w:rsid w:val="006D6BC3"/>
    <w:rsid w:val="006E316B"/>
    <w:rsid w:val="006E414A"/>
    <w:rsid w:val="006E414F"/>
    <w:rsid w:val="006E41AF"/>
    <w:rsid w:val="006E5765"/>
    <w:rsid w:val="006E6BA3"/>
    <w:rsid w:val="006E72C0"/>
    <w:rsid w:val="006E793E"/>
    <w:rsid w:val="006E7D0E"/>
    <w:rsid w:val="006F05FA"/>
    <w:rsid w:val="006F1A72"/>
    <w:rsid w:val="006F1D0A"/>
    <w:rsid w:val="006F23EA"/>
    <w:rsid w:val="006F3B63"/>
    <w:rsid w:val="006F4383"/>
    <w:rsid w:val="006F4BFE"/>
    <w:rsid w:val="006F4DD2"/>
    <w:rsid w:val="006F7E34"/>
    <w:rsid w:val="00700D00"/>
    <w:rsid w:val="0070184D"/>
    <w:rsid w:val="00704941"/>
    <w:rsid w:val="007055B4"/>
    <w:rsid w:val="0070567F"/>
    <w:rsid w:val="00705BCF"/>
    <w:rsid w:val="0071030D"/>
    <w:rsid w:val="00710FB5"/>
    <w:rsid w:val="00711779"/>
    <w:rsid w:val="007121A0"/>
    <w:rsid w:val="00713906"/>
    <w:rsid w:val="007139D5"/>
    <w:rsid w:val="00714B06"/>
    <w:rsid w:val="00714E28"/>
    <w:rsid w:val="0071588C"/>
    <w:rsid w:val="00715B99"/>
    <w:rsid w:val="007164E2"/>
    <w:rsid w:val="007167BE"/>
    <w:rsid w:val="0072119A"/>
    <w:rsid w:val="0072205A"/>
    <w:rsid w:val="00722A7E"/>
    <w:rsid w:val="00722B91"/>
    <w:rsid w:val="00723D01"/>
    <w:rsid w:val="00724D61"/>
    <w:rsid w:val="007269FE"/>
    <w:rsid w:val="00726D9A"/>
    <w:rsid w:val="00730482"/>
    <w:rsid w:val="0073056F"/>
    <w:rsid w:val="007307EB"/>
    <w:rsid w:val="00731771"/>
    <w:rsid w:val="007322EB"/>
    <w:rsid w:val="007327A2"/>
    <w:rsid w:val="0073298F"/>
    <w:rsid w:val="007345D7"/>
    <w:rsid w:val="00735F8D"/>
    <w:rsid w:val="007373EE"/>
    <w:rsid w:val="0074007F"/>
    <w:rsid w:val="00741185"/>
    <w:rsid w:val="00741689"/>
    <w:rsid w:val="00741BFA"/>
    <w:rsid w:val="007446D0"/>
    <w:rsid w:val="00745484"/>
    <w:rsid w:val="00745752"/>
    <w:rsid w:val="00746985"/>
    <w:rsid w:val="00746E72"/>
    <w:rsid w:val="007500E5"/>
    <w:rsid w:val="0075021C"/>
    <w:rsid w:val="00750DE0"/>
    <w:rsid w:val="00750E3E"/>
    <w:rsid w:val="00752186"/>
    <w:rsid w:val="00753209"/>
    <w:rsid w:val="00753D28"/>
    <w:rsid w:val="007564BD"/>
    <w:rsid w:val="00757972"/>
    <w:rsid w:val="007602A0"/>
    <w:rsid w:val="007602AE"/>
    <w:rsid w:val="007603B4"/>
    <w:rsid w:val="00761F27"/>
    <w:rsid w:val="007628C0"/>
    <w:rsid w:val="0076588E"/>
    <w:rsid w:val="00766C5A"/>
    <w:rsid w:val="00767964"/>
    <w:rsid w:val="007701FC"/>
    <w:rsid w:val="0077089E"/>
    <w:rsid w:val="00771D69"/>
    <w:rsid w:val="00773139"/>
    <w:rsid w:val="007732BA"/>
    <w:rsid w:val="007736C6"/>
    <w:rsid w:val="00774C28"/>
    <w:rsid w:val="0077621C"/>
    <w:rsid w:val="007771DA"/>
    <w:rsid w:val="00781123"/>
    <w:rsid w:val="00783365"/>
    <w:rsid w:val="0078587A"/>
    <w:rsid w:val="00786110"/>
    <w:rsid w:val="0078714A"/>
    <w:rsid w:val="00790332"/>
    <w:rsid w:val="00790662"/>
    <w:rsid w:val="0079208C"/>
    <w:rsid w:val="007921D2"/>
    <w:rsid w:val="007926A3"/>
    <w:rsid w:val="00793964"/>
    <w:rsid w:val="00793E13"/>
    <w:rsid w:val="007947C9"/>
    <w:rsid w:val="00795DDF"/>
    <w:rsid w:val="00796AE2"/>
    <w:rsid w:val="007A3B7F"/>
    <w:rsid w:val="007A4225"/>
    <w:rsid w:val="007A493D"/>
    <w:rsid w:val="007A50C2"/>
    <w:rsid w:val="007A6B7F"/>
    <w:rsid w:val="007A6BC6"/>
    <w:rsid w:val="007A7428"/>
    <w:rsid w:val="007B1E8F"/>
    <w:rsid w:val="007B2857"/>
    <w:rsid w:val="007B4C04"/>
    <w:rsid w:val="007B604D"/>
    <w:rsid w:val="007B61E3"/>
    <w:rsid w:val="007C0DF9"/>
    <w:rsid w:val="007C2A99"/>
    <w:rsid w:val="007C3114"/>
    <w:rsid w:val="007C366D"/>
    <w:rsid w:val="007C4E05"/>
    <w:rsid w:val="007C58DB"/>
    <w:rsid w:val="007D0CD4"/>
    <w:rsid w:val="007D26F3"/>
    <w:rsid w:val="007D2C14"/>
    <w:rsid w:val="007D4795"/>
    <w:rsid w:val="007D5010"/>
    <w:rsid w:val="007D5077"/>
    <w:rsid w:val="007D580D"/>
    <w:rsid w:val="007D72B4"/>
    <w:rsid w:val="007D79E7"/>
    <w:rsid w:val="007E04D3"/>
    <w:rsid w:val="007E0A00"/>
    <w:rsid w:val="007E2F75"/>
    <w:rsid w:val="007E397A"/>
    <w:rsid w:val="007E3EC1"/>
    <w:rsid w:val="007E46E9"/>
    <w:rsid w:val="007E48DC"/>
    <w:rsid w:val="007E4F3D"/>
    <w:rsid w:val="007E616C"/>
    <w:rsid w:val="007E6906"/>
    <w:rsid w:val="007E6984"/>
    <w:rsid w:val="007F06AB"/>
    <w:rsid w:val="007F1E29"/>
    <w:rsid w:val="007F3AD2"/>
    <w:rsid w:val="007F4194"/>
    <w:rsid w:val="007F50D2"/>
    <w:rsid w:val="007F50E2"/>
    <w:rsid w:val="007F57E7"/>
    <w:rsid w:val="007F5C26"/>
    <w:rsid w:val="007F6714"/>
    <w:rsid w:val="007F799D"/>
    <w:rsid w:val="007F7D2A"/>
    <w:rsid w:val="007F7E5E"/>
    <w:rsid w:val="00800FCD"/>
    <w:rsid w:val="00801396"/>
    <w:rsid w:val="008018E0"/>
    <w:rsid w:val="0080200B"/>
    <w:rsid w:val="008022FC"/>
    <w:rsid w:val="00803C3E"/>
    <w:rsid w:val="00803C68"/>
    <w:rsid w:val="00804CE7"/>
    <w:rsid w:val="008067E6"/>
    <w:rsid w:val="008119A5"/>
    <w:rsid w:val="0081268E"/>
    <w:rsid w:val="00813981"/>
    <w:rsid w:val="008164AD"/>
    <w:rsid w:val="008172C2"/>
    <w:rsid w:val="00820852"/>
    <w:rsid w:val="008237F7"/>
    <w:rsid w:val="008266E1"/>
    <w:rsid w:val="00826EA7"/>
    <w:rsid w:val="008274EB"/>
    <w:rsid w:val="008306FC"/>
    <w:rsid w:val="00831D82"/>
    <w:rsid w:val="008322F0"/>
    <w:rsid w:val="00833B51"/>
    <w:rsid w:val="00833C4D"/>
    <w:rsid w:val="00834728"/>
    <w:rsid w:val="00834B8F"/>
    <w:rsid w:val="00834B93"/>
    <w:rsid w:val="00834CDC"/>
    <w:rsid w:val="00835B10"/>
    <w:rsid w:val="008374A9"/>
    <w:rsid w:val="00840A08"/>
    <w:rsid w:val="008421C5"/>
    <w:rsid w:val="00842DB9"/>
    <w:rsid w:val="00843C78"/>
    <w:rsid w:val="00843E4C"/>
    <w:rsid w:val="00843EEE"/>
    <w:rsid w:val="00846666"/>
    <w:rsid w:val="00846BF1"/>
    <w:rsid w:val="00847F94"/>
    <w:rsid w:val="00852934"/>
    <w:rsid w:val="00852CD5"/>
    <w:rsid w:val="00853AA2"/>
    <w:rsid w:val="00854220"/>
    <w:rsid w:val="008547ED"/>
    <w:rsid w:val="00855AEE"/>
    <w:rsid w:val="00857A4E"/>
    <w:rsid w:val="00857FF8"/>
    <w:rsid w:val="0086083C"/>
    <w:rsid w:val="00860B29"/>
    <w:rsid w:val="008615AC"/>
    <w:rsid w:val="00861E9B"/>
    <w:rsid w:val="0086207C"/>
    <w:rsid w:val="0086475B"/>
    <w:rsid w:val="00864C9D"/>
    <w:rsid w:val="008668D1"/>
    <w:rsid w:val="0087015E"/>
    <w:rsid w:val="008709B6"/>
    <w:rsid w:val="00870A9D"/>
    <w:rsid w:val="00871062"/>
    <w:rsid w:val="00871526"/>
    <w:rsid w:val="008733DC"/>
    <w:rsid w:val="008737C8"/>
    <w:rsid w:val="008739AE"/>
    <w:rsid w:val="00873FD3"/>
    <w:rsid w:val="008758FC"/>
    <w:rsid w:val="008821A6"/>
    <w:rsid w:val="0088442E"/>
    <w:rsid w:val="00886FAC"/>
    <w:rsid w:val="00890344"/>
    <w:rsid w:val="008906FA"/>
    <w:rsid w:val="008923AE"/>
    <w:rsid w:val="008923B4"/>
    <w:rsid w:val="008937FE"/>
    <w:rsid w:val="00893C94"/>
    <w:rsid w:val="0089429F"/>
    <w:rsid w:val="008961C2"/>
    <w:rsid w:val="008968AD"/>
    <w:rsid w:val="00896C54"/>
    <w:rsid w:val="00896E10"/>
    <w:rsid w:val="00897D3C"/>
    <w:rsid w:val="008A3517"/>
    <w:rsid w:val="008A6373"/>
    <w:rsid w:val="008A648F"/>
    <w:rsid w:val="008A6A97"/>
    <w:rsid w:val="008A7657"/>
    <w:rsid w:val="008B0B64"/>
    <w:rsid w:val="008B6D29"/>
    <w:rsid w:val="008B73E8"/>
    <w:rsid w:val="008C3C3E"/>
    <w:rsid w:val="008C4FCC"/>
    <w:rsid w:val="008C628A"/>
    <w:rsid w:val="008C6CDC"/>
    <w:rsid w:val="008C7079"/>
    <w:rsid w:val="008D18E2"/>
    <w:rsid w:val="008D1ABF"/>
    <w:rsid w:val="008D4501"/>
    <w:rsid w:val="008D499E"/>
    <w:rsid w:val="008D4B22"/>
    <w:rsid w:val="008D57C2"/>
    <w:rsid w:val="008D5836"/>
    <w:rsid w:val="008D71CE"/>
    <w:rsid w:val="008D77B0"/>
    <w:rsid w:val="008E3D86"/>
    <w:rsid w:val="008E4012"/>
    <w:rsid w:val="008F1579"/>
    <w:rsid w:val="008F19A8"/>
    <w:rsid w:val="008F26CF"/>
    <w:rsid w:val="008F3E3D"/>
    <w:rsid w:val="008F5073"/>
    <w:rsid w:val="008F69CE"/>
    <w:rsid w:val="008F7521"/>
    <w:rsid w:val="008F7908"/>
    <w:rsid w:val="008F7C42"/>
    <w:rsid w:val="009031B8"/>
    <w:rsid w:val="0090383E"/>
    <w:rsid w:val="00903E74"/>
    <w:rsid w:val="00907C53"/>
    <w:rsid w:val="00912173"/>
    <w:rsid w:val="00914313"/>
    <w:rsid w:val="00916572"/>
    <w:rsid w:val="00916A0A"/>
    <w:rsid w:val="00916C17"/>
    <w:rsid w:val="0092099A"/>
    <w:rsid w:val="00920C6E"/>
    <w:rsid w:val="00922EF9"/>
    <w:rsid w:val="009243AB"/>
    <w:rsid w:val="00926056"/>
    <w:rsid w:val="00926BCC"/>
    <w:rsid w:val="009277DD"/>
    <w:rsid w:val="0093118D"/>
    <w:rsid w:val="0093148C"/>
    <w:rsid w:val="00932E3F"/>
    <w:rsid w:val="009332AB"/>
    <w:rsid w:val="00936324"/>
    <w:rsid w:val="00936B25"/>
    <w:rsid w:val="00936D5E"/>
    <w:rsid w:val="009370D4"/>
    <w:rsid w:val="009379E4"/>
    <w:rsid w:val="0094320F"/>
    <w:rsid w:val="009448D3"/>
    <w:rsid w:val="009468FD"/>
    <w:rsid w:val="009518D8"/>
    <w:rsid w:val="00951B44"/>
    <w:rsid w:val="0095419B"/>
    <w:rsid w:val="00954C47"/>
    <w:rsid w:val="00955AE0"/>
    <w:rsid w:val="00961352"/>
    <w:rsid w:val="00964064"/>
    <w:rsid w:val="00964E98"/>
    <w:rsid w:val="009651F5"/>
    <w:rsid w:val="009656EE"/>
    <w:rsid w:val="009656F7"/>
    <w:rsid w:val="00972EDF"/>
    <w:rsid w:val="00972F08"/>
    <w:rsid w:val="00975035"/>
    <w:rsid w:val="00975A61"/>
    <w:rsid w:val="00982486"/>
    <w:rsid w:val="0098260F"/>
    <w:rsid w:val="009834F7"/>
    <w:rsid w:val="00986C83"/>
    <w:rsid w:val="00987C7A"/>
    <w:rsid w:val="00990206"/>
    <w:rsid w:val="00990D7D"/>
    <w:rsid w:val="00990D82"/>
    <w:rsid w:val="00991E13"/>
    <w:rsid w:val="0099299D"/>
    <w:rsid w:val="00993516"/>
    <w:rsid w:val="009951AE"/>
    <w:rsid w:val="00996C7C"/>
    <w:rsid w:val="00997817"/>
    <w:rsid w:val="009979A3"/>
    <w:rsid w:val="009A057C"/>
    <w:rsid w:val="009A08DD"/>
    <w:rsid w:val="009A14E6"/>
    <w:rsid w:val="009A2358"/>
    <w:rsid w:val="009A2992"/>
    <w:rsid w:val="009A4A70"/>
    <w:rsid w:val="009B05A3"/>
    <w:rsid w:val="009B0B56"/>
    <w:rsid w:val="009B117C"/>
    <w:rsid w:val="009B14EF"/>
    <w:rsid w:val="009B21FA"/>
    <w:rsid w:val="009B23AF"/>
    <w:rsid w:val="009B2790"/>
    <w:rsid w:val="009B2B19"/>
    <w:rsid w:val="009B6939"/>
    <w:rsid w:val="009B72B5"/>
    <w:rsid w:val="009C2B8C"/>
    <w:rsid w:val="009C4792"/>
    <w:rsid w:val="009C4A2E"/>
    <w:rsid w:val="009C5895"/>
    <w:rsid w:val="009C6D10"/>
    <w:rsid w:val="009C73BD"/>
    <w:rsid w:val="009D0B1F"/>
    <w:rsid w:val="009D12C7"/>
    <w:rsid w:val="009D2A27"/>
    <w:rsid w:val="009D513A"/>
    <w:rsid w:val="009D541F"/>
    <w:rsid w:val="009D5517"/>
    <w:rsid w:val="009D6496"/>
    <w:rsid w:val="009D6797"/>
    <w:rsid w:val="009D7703"/>
    <w:rsid w:val="009D780D"/>
    <w:rsid w:val="009D7978"/>
    <w:rsid w:val="009D7BFF"/>
    <w:rsid w:val="009E4744"/>
    <w:rsid w:val="009E5E93"/>
    <w:rsid w:val="009E5F55"/>
    <w:rsid w:val="009E6670"/>
    <w:rsid w:val="009E7475"/>
    <w:rsid w:val="009E7DF2"/>
    <w:rsid w:val="009F06C0"/>
    <w:rsid w:val="009F1B61"/>
    <w:rsid w:val="009F1D51"/>
    <w:rsid w:val="009F2797"/>
    <w:rsid w:val="009F2CD0"/>
    <w:rsid w:val="009F411B"/>
    <w:rsid w:val="009F5EA4"/>
    <w:rsid w:val="009F6833"/>
    <w:rsid w:val="009F7344"/>
    <w:rsid w:val="009F74EE"/>
    <w:rsid w:val="00A014D8"/>
    <w:rsid w:val="00A019AB"/>
    <w:rsid w:val="00A03C77"/>
    <w:rsid w:val="00A040A9"/>
    <w:rsid w:val="00A05A26"/>
    <w:rsid w:val="00A061CE"/>
    <w:rsid w:val="00A06E3A"/>
    <w:rsid w:val="00A0709B"/>
    <w:rsid w:val="00A072B3"/>
    <w:rsid w:val="00A07702"/>
    <w:rsid w:val="00A07DB0"/>
    <w:rsid w:val="00A12B40"/>
    <w:rsid w:val="00A131FE"/>
    <w:rsid w:val="00A136EA"/>
    <w:rsid w:val="00A13D6D"/>
    <w:rsid w:val="00A145CB"/>
    <w:rsid w:val="00A17660"/>
    <w:rsid w:val="00A17F3B"/>
    <w:rsid w:val="00A220FF"/>
    <w:rsid w:val="00A240E3"/>
    <w:rsid w:val="00A24251"/>
    <w:rsid w:val="00A25034"/>
    <w:rsid w:val="00A25FF8"/>
    <w:rsid w:val="00A26074"/>
    <w:rsid w:val="00A26182"/>
    <w:rsid w:val="00A269A6"/>
    <w:rsid w:val="00A3121E"/>
    <w:rsid w:val="00A31F8F"/>
    <w:rsid w:val="00A32BAB"/>
    <w:rsid w:val="00A32D28"/>
    <w:rsid w:val="00A335C9"/>
    <w:rsid w:val="00A33B8B"/>
    <w:rsid w:val="00A34CEB"/>
    <w:rsid w:val="00A3583B"/>
    <w:rsid w:val="00A35DD3"/>
    <w:rsid w:val="00A36560"/>
    <w:rsid w:val="00A40013"/>
    <w:rsid w:val="00A4002F"/>
    <w:rsid w:val="00A41536"/>
    <w:rsid w:val="00A41B3E"/>
    <w:rsid w:val="00A42E1B"/>
    <w:rsid w:val="00A440B3"/>
    <w:rsid w:val="00A446EF"/>
    <w:rsid w:val="00A47564"/>
    <w:rsid w:val="00A50DFB"/>
    <w:rsid w:val="00A51D87"/>
    <w:rsid w:val="00A51E7E"/>
    <w:rsid w:val="00A54C36"/>
    <w:rsid w:val="00A56B28"/>
    <w:rsid w:val="00A573B7"/>
    <w:rsid w:val="00A578BE"/>
    <w:rsid w:val="00A60B8E"/>
    <w:rsid w:val="00A629F3"/>
    <w:rsid w:val="00A63065"/>
    <w:rsid w:val="00A63413"/>
    <w:rsid w:val="00A64700"/>
    <w:rsid w:val="00A65FEF"/>
    <w:rsid w:val="00A7038B"/>
    <w:rsid w:val="00A70596"/>
    <w:rsid w:val="00A70C94"/>
    <w:rsid w:val="00A7255A"/>
    <w:rsid w:val="00A73FC0"/>
    <w:rsid w:val="00A75A16"/>
    <w:rsid w:val="00A75C50"/>
    <w:rsid w:val="00A76D9F"/>
    <w:rsid w:val="00A76F3F"/>
    <w:rsid w:val="00A80001"/>
    <w:rsid w:val="00A80179"/>
    <w:rsid w:val="00A80596"/>
    <w:rsid w:val="00A80A13"/>
    <w:rsid w:val="00A81FC5"/>
    <w:rsid w:val="00A8476C"/>
    <w:rsid w:val="00A864D4"/>
    <w:rsid w:val="00A92323"/>
    <w:rsid w:val="00A94B54"/>
    <w:rsid w:val="00A9526C"/>
    <w:rsid w:val="00A95A6A"/>
    <w:rsid w:val="00A95A97"/>
    <w:rsid w:val="00A96525"/>
    <w:rsid w:val="00A975D8"/>
    <w:rsid w:val="00A97CC3"/>
    <w:rsid w:val="00AA0848"/>
    <w:rsid w:val="00AA1B09"/>
    <w:rsid w:val="00AA301A"/>
    <w:rsid w:val="00AA7D08"/>
    <w:rsid w:val="00AB0395"/>
    <w:rsid w:val="00AB0A56"/>
    <w:rsid w:val="00AB0BD2"/>
    <w:rsid w:val="00AB1073"/>
    <w:rsid w:val="00AB1442"/>
    <w:rsid w:val="00AB2B64"/>
    <w:rsid w:val="00AB324E"/>
    <w:rsid w:val="00AB3647"/>
    <w:rsid w:val="00AB5AA8"/>
    <w:rsid w:val="00AB768A"/>
    <w:rsid w:val="00AB78FE"/>
    <w:rsid w:val="00AC572F"/>
    <w:rsid w:val="00AC581B"/>
    <w:rsid w:val="00AD0F5B"/>
    <w:rsid w:val="00AD15BE"/>
    <w:rsid w:val="00AD19BE"/>
    <w:rsid w:val="00AD3B3D"/>
    <w:rsid w:val="00AD41B8"/>
    <w:rsid w:val="00AD5DB4"/>
    <w:rsid w:val="00AD5EEA"/>
    <w:rsid w:val="00AD5F32"/>
    <w:rsid w:val="00AD7942"/>
    <w:rsid w:val="00AE0AA6"/>
    <w:rsid w:val="00AE22E1"/>
    <w:rsid w:val="00AE3056"/>
    <w:rsid w:val="00AE321B"/>
    <w:rsid w:val="00AE46E7"/>
    <w:rsid w:val="00AE6362"/>
    <w:rsid w:val="00AE6523"/>
    <w:rsid w:val="00AE6BB6"/>
    <w:rsid w:val="00AE7E43"/>
    <w:rsid w:val="00AF11D7"/>
    <w:rsid w:val="00AF258B"/>
    <w:rsid w:val="00AF3BC8"/>
    <w:rsid w:val="00AF4C2B"/>
    <w:rsid w:val="00AF6FFF"/>
    <w:rsid w:val="00B0018D"/>
    <w:rsid w:val="00B0234C"/>
    <w:rsid w:val="00B06B64"/>
    <w:rsid w:val="00B13B06"/>
    <w:rsid w:val="00B13C6C"/>
    <w:rsid w:val="00B1460D"/>
    <w:rsid w:val="00B14654"/>
    <w:rsid w:val="00B14694"/>
    <w:rsid w:val="00B148F6"/>
    <w:rsid w:val="00B14C22"/>
    <w:rsid w:val="00B16E4B"/>
    <w:rsid w:val="00B20326"/>
    <w:rsid w:val="00B20990"/>
    <w:rsid w:val="00B21529"/>
    <w:rsid w:val="00B2286A"/>
    <w:rsid w:val="00B23996"/>
    <w:rsid w:val="00B24CBF"/>
    <w:rsid w:val="00B24DBF"/>
    <w:rsid w:val="00B2613B"/>
    <w:rsid w:val="00B261AE"/>
    <w:rsid w:val="00B27A53"/>
    <w:rsid w:val="00B27EF1"/>
    <w:rsid w:val="00B30345"/>
    <w:rsid w:val="00B31668"/>
    <w:rsid w:val="00B316AE"/>
    <w:rsid w:val="00B316C4"/>
    <w:rsid w:val="00B31C2F"/>
    <w:rsid w:val="00B34775"/>
    <w:rsid w:val="00B34D2B"/>
    <w:rsid w:val="00B36267"/>
    <w:rsid w:val="00B3698C"/>
    <w:rsid w:val="00B36AFB"/>
    <w:rsid w:val="00B379CD"/>
    <w:rsid w:val="00B37A17"/>
    <w:rsid w:val="00B4025C"/>
    <w:rsid w:val="00B40AA4"/>
    <w:rsid w:val="00B40E0D"/>
    <w:rsid w:val="00B42D26"/>
    <w:rsid w:val="00B43714"/>
    <w:rsid w:val="00B43793"/>
    <w:rsid w:val="00B47850"/>
    <w:rsid w:val="00B5026D"/>
    <w:rsid w:val="00B50FF0"/>
    <w:rsid w:val="00B51DC4"/>
    <w:rsid w:val="00B5543A"/>
    <w:rsid w:val="00B56706"/>
    <w:rsid w:val="00B56844"/>
    <w:rsid w:val="00B57073"/>
    <w:rsid w:val="00B601B8"/>
    <w:rsid w:val="00B62DEE"/>
    <w:rsid w:val="00B63926"/>
    <w:rsid w:val="00B6580B"/>
    <w:rsid w:val="00B6598B"/>
    <w:rsid w:val="00B71F2D"/>
    <w:rsid w:val="00B71F72"/>
    <w:rsid w:val="00B74D1A"/>
    <w:rsid w:val="00B75EC3"/>
    <w:rsid w:val="00B76D8D"/>
    <w:rsid w:val="00B76FB3"/>
    <w:rsid w:val="00B802C2"/>
    <w:rsid w:val="00B80496"/>
    <w:rsid w:val="00B80A8E"/>
    <w:rsid w:val="00B81FA6"/>
    <w:rsid w:val="00B84179"/>
    <w:rsid w:val="00B846DF"/>
    <w:rsid w:val="00B84AC7"/>
    <w:rsid w:val="00B877BF"/>
    <w:rsid w:val="00B93D63"/>
    <w:rsid w:val="00B944F6"/>
    <w:rsid w:val="00B94B82"/>
    <w:rsid w:val="00B9537D"/>
    <w:rsid w:val="00B9585B"/>
    <w:rsid w:val="00B96275"/>
    <w:rsid w:val="00B97B7D"/>
    <w:rsid w:val="00BA0548"/>
    <w:rsid w:val="00BA093C"/>
    <w:rsid w:val="00BA0E4F"/>
    <w:rsid w:val="00BA3E49"/>
    <w:rsid w:val="00BA49CC"/>
    <w:rsid w:val="00BA5EDD"/>
    <w:rsid w:val="00BA6ECE"/>
    <w:rsid w:val="00BA754A"/>
    <w:rsid w:val="00BB1312"/>
    <w:rsid w:val="00BB1563"/>
    <w:rsid w:val="00BB3C83"/>
    <w:rsid w:val="00BB4DD2"/>
    <w:rsid w:val="00BB533B"/>
    <w:rsid w:val="00BB5C3E"/>
    <w:rsid w:val="00BB604F"/>
    <w:rsid w:val="00BB6D7F"/>
    <w:rsid w:val="00BC0464"/>
    <w:rsid w:val="00BC07E9"/>
    <w:rsid w:val="00BC0CDC"/>
    <w:rsid w:val="00BC1FEB"/>
    <w:rsid w:val="00BC2ACC"/>
    <w:rsid w:val="00BC2F45"/>
    <w:rsid w:val="00BC346C"/>
    <w:rsid w:val="00BC4001"/>
    <w:rsid w:val="00BC4620"/>
    <w:rsid w:val="00BC4657"/>
    <w:rsid w:val="00BC510F"/>
    <w:rsid w:val="00BC599A"/>
    <w:rsid w:val="00BC69B8"/>
    <w:rsid w:val="00BC6CFC"/>
    <w:rsid w:val="00BC6E63"/>
    <w:rsid w:val="00BC718B"/>
    <w:rsid w:val="00BC7A0C"/>
    <w:rsid w:val="00BD0861"/>
    <w:rsid w:val="00BD19FE"/>
    <w:rsid w:val="00BD2955"/>
    <w:rsid w:val="00BD2BF4"/>
    <w:rsid w:val="00BD334A"/>
    <w:rsid w:val="00BD4F7B"/>
    <w:rsid w:val="00BD5595"/>
    <w:rsid w:val="00BD5C10"/>
    <w:rsid w:val="00BD61B1"/>
    <w:rsid w:val="00BD61EC"/>
    <w:rsid w:val="00BD6252"/>
    <w:rsid w:val="00BD7E5E"/>
    <w:rsid w:val="00BE1098"/>
    <w:rsid w:val="00BE21F1"/>
    <w:rsid w:val="00BE2300"/>
    <w:rsid w:val="00BE249D"/>
    <w:rsid w:val="00BE37C9"/>
    <w:rsid w:val="00BE3983"/>
    <w:rsid w:val="00BE517D"/>
    <w:rsid w:val="00BE54F5"/>
    <w:rsid w:val="00BE6900"/>
    <w:rsid w:val="00BE7CB5"/>
    <w:rsid w:val="00BF1AE8"/>
    <w:rsid w:val="00BF1E54"/>
    <w:rsid w:val="00BF20EE"/>
    <w:rsid w:val="00BF251D"/>
    <w:rsid w:val="00BF2C84"/>
    <w:rsid w:val="00BF40AB"/>
    <w:rsid w:val="00BF69B1"/>
    <w:rsid w:val="00BF745F"/>
    <w:rsid w:val="00BF766E"/>
    <w:rsid w:val="00C01835"/>
    <w:rsid w:val="00C0242D"/>
    <w:rsid w:val="00C053E7"/>
    <w:rsid w:val="00C07BC0"/>
    <w:rsid w:val="00C10126"/>
    <w:rsid w:val="00C1058C"/>
    <w:rsid w:val="00C1115B"/>
    <w:rsid w:val="00C11803"/>
    <w:rsid w:val="00C15348"/>
    <w:rsid w:val="00C16291"/>
    <w:rsid w:val="00C16EF6"/>
    <w:rsid w:val="00C172B1"/>
    <w:rsid w:val="00C17B7C"/>
    <w:rsid w:val="00C203E8"/>
    <w:rsid w:val="00C20E39"/>
    <w:rsid w:val="00C20FDC"/>
    <w:rsid w:val="00C21692"/>
    <w:rsid w:val="00C2276E"/>
    <w:rsid w:val="00C22B65"/>
    <w:rsid w:val="00C23BBA"/>
    <w:rsid w:val="00C25836"/>
    <w:rsid w:val="00C263F1"/>
    <w:rsid w:val="00C264B2"/>
    <w:rsid w:val="00C2656E"/>
    <w:rsid w:val="00C304A1"/>
    <w:rsid w:val="00C309F6"/>
    <w:rsid w:val="00C31AB0"/>
    <w:rsid w:val="00C337C8"/>
    <w:rsid w:val="00C33A20"/>
    <w:rsid w:val="00C340E8"/>
    <w:rsid w:val="00C3476D"/>
    <w:rsid w:val="00C36287"/>
    <w:rsid w:val="00C36624"/>
    <w:rsid w:val="00C37211"/>
    <w:rsid w:val="00C401A2"/>
    <w:rsid w:val="00C40727"/>
    <w:rsid w:val="00C40CCA"/>
    <w:rsid w:val="00C40EB5"/>
    <w:rsid w:val="00C42289"/>
    <w:rsid w:val="00C42465"/>
    <w:rsid w:val="00C4336C"/>
    <w:rsid w:val="00C437DE"/>
    <w:rsid w:val="00C43886"/>
    <w:rsid w:val="00C443C1"/>
    <w:rsid w:val="00C463BB"/>
    <w:rsid w:val="00C468B8"/>
    <w:rsid w:val="00C50FF4"/>
    <w:rsid w:val="00C516E1"/>
    <w:rsid w:val="00C54BB7"/>
    <w:rsid w:val="00C57A93"/>
    <w:rsid w:val="00C57FB4"/>
    <w:rsid w:val="00C60BDC"/>
    <w:rsid w:val="00C60D1E"/>
    <w:rsid w:val="00C6418E"/>
    <w:rsid w:val="00C64212"/>
    <w:rsid w:val="00C6558B"/>
    <w:rsid w:val="00C6632D"/>
    <w:rsid w:val="00C67E88"/>
    <w:rsid w:val="00C7002F"/>
    <w:rsid w:val="00C70FEE"/>
    <w:rsid w:val="00C75E6A"/>
    <w:rsid w:val="00C7623F"/>
    <w:rsid w:val="00C84655"/>
    <w:rsid w:val="00C860CE"/>
    <w:rsid w:val="00C86108"/>
    <w:rsid w:val="00C8778B"/>
    <w:rsid w:val="00C87D60"/>
    <w:rsid w:val="00C9006E"/>
    <w:rsid w:val="00C9047A"/>
    <w:rsid w:val="00C904C0"/>
    <w:rsid w:val="00C925C1"/>
    <w:rsid w:val="00C95E39"/>
    <w:rsid w:val="00C97290"/>
    <w:rsid w:val="00C97FFE"/>
    <w:rsid w:val="00CA01EC"/>
    <w:rsid w:val="00CA020F"/>
    <w:rsid w:val="00CA0376"/>
    <w:rsid w:val="00CA072E"/>
    <w:rsid w:val="00CA1B08"/>
    <w:rsid w:val="00CA2A03"/>
    <w:rsid w:val="00CA3517"/>
    <w:rsid w:val="00CA578D"/>
    <w:rsid w:val="00CA5904"/>
    <w:rsid w:val="00CA6247"/>
    <w:rsid w:val="00CA6B7F"/>
    <w:rsid w:val="00CB3A2C"/>
    <w:rsid w:val="00CB3BAA"/>
    <w:rsid w:val="00CB497A"/>
    <w:rsid w:val="00CB4D6F"/>
    <w:rsid w:val="00CB6C20"/>
    <w:rsid w:val="00CB71C5"/>
    <w:rsid w:val="00CB73C4"/>
    <w:rsid w:val="00CC0948"/>
    <w:rsid w:val="00CC3D18"/>
    <w:rsid w:val="00CC5D56"/>
    <w:rsid w:val="00CC683E"/>
    <w:rsid w:val="00CC732C"/>
    <w:rsid w:val="00CD0120"/>
    <w:rsid w:val="00CD06CE"/>
    <w:rsid w:val="00CD1186"/>
    <w:rsid w:val="00CD1FD1"/>
    <w:rsid w:val="00CE05EB"/>
    <w:rsid w:val="00CE25E7"/>
    <w:rsid w:val="00CE4CC8"/>
    <w:rsid w:val="00CE761F"/>
    <w:rsid w:val="00CF0BEE"/>
    <w:rsid w:val="00CF24E8"/>
    <w:rsid w:val="00CF28EA"/>
    <w:rsid w:val="00CF53B4"/>
    <w:rsid w:val="00CF62CF"/>
    <w:rsid w:val="00CF6F2F"/>
    <w:rsid w:val="00CF70A5"/>
    <w:rsid w:val="00D0075A"/>
    <w:rsid w:val="00D024B2"/>
    <w:rsid w:val="00D02B2E"/>
    <w:rsid w:val="00D046B0"/>
    <w:rsid w:val="00D04F84"/>
    <w:rsid w:val="00D05B49"/>
    <w:rsid w:val="00D07F59"/>
    <w:rsid w:val="00D11950"/>
    <w:rsid w:val="00D11DD1"/>
    <w:rsid w:val="00D14918"/>
    <w:rsid w:val="00D149BC"/>
    <w:rsid w:val="00D149E7"/>
    <w:rsid w:val="00D14E13"/>
    <w:rsid w:val="00D14F45"/>
    <w:rsid w:val="00D157AE"/>
    <w:rsid w:val="00D15ED9"/>
    <w:rsid w:val="00D1647A"/>
    <w:rsid w:val="00D1710A"/>
    <w:rsid w:val="00D2051E"/>
    <w:rsid w:val="00D21F52"/>
    <w:rsid w:val="00D24955"/>
    <w:rsid w:val="00D249B2"/>
    <w:rsid w:val="00D25541"/>
    <w:rsid w:val="00D26E46"/>
    <w:rsid w:val="00D30EA1"/>
    <w:rsid w:val="00D31B93"/>
    <w:rsid w:val="00D3265A"/>
    <w:rsid w:val="00D33C0B"/>
    <w:rsid w:val="00D34236"/>
    <w:rsid w:val="00D34688"/>
    <w:rsid w:val="00D34B28"/>
    <w:rsid w:val="00D34B76"/>
    <w:rsid w:val="00D36C9A"/>
    <w:rsid w:val="00D3776B"/>
    <w:rsid w:val="00D41F8B"/>
    <w:rsid w:val="00D41FD9"/>
    <w:rsid w:val="00D426D7"/>
    <w:rsid w:val="00D42E1B"/>
    <w:rsid w:val="00D442A2"/>
    <w:rsid w:val="00D44B96"/>
    <w:rsid w:val="00D45AF1"/>
    <w:rsid w:val="00D4641B"/>
    <w:rsid w:val="00D467B1"/>
    <w:rsid w:val="00D46BF9"/>
    <w:rsid w:val="00D52007"/>
    <w:rsid w:val="00D526BA"/>
    <w:rsid w:val="00D540FA"/>
    <w:rsid w:val="00D55091"/>
    <w:rsid w:val="00D551BE"/>
    <w:rsid w:val="00D55CD7"/>
    <w:rsid w:val="00D60115"/>
    <w:rsid w:val="00D6012E"/>
    <w:rsid w:val="00D61A43"/>
    <w:rsid w:val="00D61C3B"/>
    <w:rsid w:val="00D62CBA"/>
    <w:rsid w:val="00D63A75"/>
    <w:rsid w:val="00D64CFB"/>
    <w:rsid w:val="00D65144"/>
    <w:rsid w:val="00D660B7"/>
    <w:rsid w:val="00D667CE"/>
    <w:rsid w:val="00D674F4"/>
    <w:rsid w:val="00D703ED"/>
    <w:rsid w:val="00D7198F"/>
    <w:rsid w:val="00D719B1"/>
    <w:rsid w:val="00D71F8E"/>
    <w:rsid w:val="00D73808"/>
    <w:rsid w:val="00D752AF"/>
    <w:rsid w:val="00D75CC8"/>
    <w:rsid w:val="00D8002C"/>
    <w:rsid w:val="00D8060D"/>
    <w:rsid w:val="00D8295E"/>
    <w:rsid w:val="00D82A5D"/>
    <w:rsid w:val="00D834F7"/>
    <w:rsid w:val="00D84445"/>
    <w:rsid w:val="00D85776"/>
    <w:rsid w:val="00D85908"/>
    <w:rsid w:val="00D85ECE"/>
    <w:rsid w:val="00D912E4"/>
    <w:rsid w:val="00D9134F"/>
    <w:rsid w:val="00D9432E"/>
    <w:rsid w:val="00D94390"/>
    <w:rsid w:val="00D95AC1"/>
    <w:rsid w:val="00D97296"/>
    <w:rsid w:val="00D97854"/>
    <w:rsid w:val="00DA0E6F"/>
    <w:rsid w:val="00DA1707"/>
    <w:rsid w:val="00DA4896"/>
    <w:rsid w:val="00DA59F4"/>
    <w:rsid w:val="00DA7944"/>
    <w:rsid w:val="00DB07E8"/>
    <w:rsid w:val="00DB11D8"/>
    <w:rsid w:val="00DB1AF8"/>
    <w:rsid w:val="00DB30E8"/>
    <w:rsid w:val="00DB556C"/>
    <w:rsid w:val="00DB5A68"/>
    <w:rsid w:val="00DC07AD"/>
    <w:rsid w:val="00DC5709"/>
    <w:rsid w:val="00DC5E70"/>
    <w:rsid w:val="00DC7D4F"/>
    <w:rsid w:val="00DD0000"/>
    <w:rsid w:val="00DD0040"/>
    <w:rsid w:val="00DD10B4"/>
    <w:rsid w:val="00DD13F0"/>
    <w:rsid w:val="00DD15C4"/>
    <w:rsid w:val="00DD1F56"/>
    <w:rsid w:val="00DD270E"/>
    <w:rsid w:val="00DD3C86"/>
    <w:rsid w:val="00DD3F45"/>
    <w:rsid w:val="00DD424A"/>
    <w:rsid w:val="00DD443B"/>
    <w:rsid w:val="00DD4E3C"/>
    <w:rsid w:val="00DD4EA5"/>
    <w:rsid w:val="00DD7AD0"/>
    <w:rsid w:val="00DE212B"/>
    <w:rsid w:val="00DE3026"/>
    <w:rsid w:val="00DF04CC"/>
    <w:rsid w:val="00DF2CFC"/>
    <w:rsid w:val="00DF2DF8"/>
    <w:rsid w:val="00DF3A94"/>
    <w:rsid w:val="00DF51C4"/>
    <w:rsid w:val="00DF6F97"/>
    <w:rsid w:val="00DF7092"/>
    <w:rsid w:val="00DF7214"/>
    <w:rsid w:val="00DF7DE2"/>
    <w:rsid w:val="00E00608"/>
    <w:rsid w:val="00E02197"/>
    <w:rsid w:val="00E03A23"/>
    <w:rsid w:val="00E04FBE"/>
    <w:rsid w:val="00E060B0"/>
    <w:rsid w:val="00E066E9"/>
    <w:rsid w:val="00E1147A"/>
    <w:rsid w:val="00E12EAC"/>
    <w:rsid w:val="00E1344A"/>
    <w:rsid w:val="00E1631C"/>
    <w:rsid w:val="00E1669F"/>
    <w:rsid w:val="00E1771C"/>
    <w:rsid w:val="00E2047E"/>
    <w:rsid w:val="00E20612"/>
    <w:rsid w:val="00E20E00"/>
    <w:rsid w:val="00E218E0"/>
    <w:rsid w:val="00E317CC"/>
    <w:rsid w:val="00E32295"/>
    <w:rsid w:val="00E3284E"/>
    <w:rsid w:val="00E3569E"/>
    <w:rsid w:val="00E36BBA"/>
    <w:rsid w:val="00E36C5A"/>
    <w:rsid w:val="00E37232"/>
    <w:rsid w:val="00E401DD"/>
    <w:rsid w:val="00E41D5E"/>
    <w:rsid w:val="00E42773"/>
    <w:rsid w:val="00E43222"/>
    <w:rsid w:val="00E43934"/>
    <w:rsid w:val="00E45504"/>
    <w:rsid w:val="00E4557B"/>
    <w:rsid w:val="00E46FBF"/>
    <w:rsid w:val="00E47C6D"/>
    <w:rsid w:val="00E51F7F"/>
    <w:rsid w:val="00E52534"/>
    <w:rsid w:val="00E5259B"/>
    <w:rsid w:val="00E52CBD"/>
    <w:rsid w:val="00E5417D"/>
    <w:rsid w:val="00E543AB"/>
    <w:rsid w:val="00E554DA"/>
    <w:rsid w:val="00E55AE7"/>
    <w:rsid w:val="00E55B9B"/>
    <w:rsid w:val="00E55EA5"/>
    <w:rsid w:val="00E56600"/>
    <w:rsid w:val="00E56FF5"/>
    <w:rsid w:val="00E6182C"/>
    <w:rsid w:val="00E61949"/>
    <w:rsid w:val="00E636F5"/>
    <w:rsid w:val="00E63703"/>
    <w:rsid w:val="00E662B4"/>
    <w:rsid w:val="00E67C43"/>
    <w:rsid w:val="00E72844"/>
    <w:rsid w:val="00E73C42"/>
    <w:rsid w:val="00E75292"/>
    <w:rsid w:val="00E758C5"/>
    <w:rsid w:val="00E76272"/>
    <w:rsid w:val="00E76F9F"/>
    <w:rsid w:val="00E80161"/>
    <w:rsid w:val="00E82404"/>
    <w:rsid w:val="00E83146"/>
    <w:rsid w:val="00E83B67"/>
    <w:rsid w:val="00E83FB2"/>
    <w:rsid w:val="00E843BB"/>
    <w:rsid w:val="00E8687E"/>
    <w:rsid w:val="00E90B0F"/>
    <w:rsid w:val="00E90F08"/>
    <w:rsid w:val="00E91ACF"/>
    <w:rsid w:val="00E924DF"/>
    <w:rsid w:val="00E92BF1"/>
    <w:rsid w:val="00E9322F"/>
    <w:rsid w:val="00E948DF"/>
    <w:rsid w:val="00E95BC9"/>
    <w:rsid w:val="00E96525"/>
    <w:rsid w:val="00E97230"/>
    <w:rsid w:val="00EA3A60"/>
    <w:rsid w:val="00EA47BF"/>
    <w:rsid w:val="00EA48B9"/>
    <w:rsid w:val="00EA5BEE"/>
    <w:rsid w:val="00EA68BB"/>
    <w:rsid w:val="00EA6C30"/>
    <w:rsid w:val="00EA7666"/>
    <w:rsid w:val="00EA7C08"/>
    <w:rsid w:val="00EB1178"/>
    <w:rsid w:val="00EB18F9"/>
    <w:rsid w:val="00EB1F9F"/>
    <w:rsid w:val="00EB2064"/>
    <w:rsid w:val="00EB3481"/>
    <w:rsid w:val="00EB3568"/>
    <w:rsid w:val="00EB3FC9"/>
    <w:rsid w:val="00EB593A"/>
    <w:rsid w:val="00EB5EB7"/>
    <w:rsid w:val="00EB62CD"/>
    <w:rsid w:val="00EB71D9"/>
    <w:rsid w:val="00EB7F5A"/>
    <w:rsid w:val="00EC0B69"/>
    <w:rsid w:val="00EC1B2B"/>
    <w:rsid w:val="00EC41B4"/>
    <w:rsid w:val="00EC504D"/>
    <w:rsid w:val="00EC7984"/>
    <w:rsid w:val="00ED067D"/>
    <w:rsid w:val="00ED0C0D"/>
    <w:rsid w:val="00ED0E71"/>
    <w:rsid w:val="00ED3D89"/>
    <w:rsid w:val="00ED3FE2"/>
    <w:rsid w:val="00ED4983"/>
    <w:rsid w:val="00EE128F"/>
    <w:rsid w:val="00EE231A"/>
    <w:rsid w:val="00EE2BAC"/>
    <w:rsid w:val="00EE3CC2"/>
    <w:rsid w:val="00EE649A"/>
    <w:rsid w:val="00EE658D"/>
    <w:rsid w:val="00EE6B48"/>
    <w:rsid w:val="00EE76CD"/>
    <w:rsid w:val="00EE7954"/>
    <w:rsid w:val="00EF0392"/>
    <w:rsid w:val="00EF17BD"/>
    <w:rsid w:val="00EF40E3"/>
    <w:rsid w:val="00EF491A"/>
    <w:rsid w:val="00EF5995"/>
    <w:rsid w:val="00EF6067"/>
    <w:rsid w:val="00EF62D8"/>
    <w:rsid w:val="00EF73D5"/>
    <w:rsid w:val="00EF7ECC"/>
    <w:rsid w:val="00F00738"/>
    <w:rsid w:val="00F00D19"/>
    <w:rsid w:val="00F01373"/>
    <w:rsid w:val="00F01FFC"/>
    <w:rsid w:val="00F028D7"/>
    <w:rsid w:val="00F02B4F"/>
    <w:rsid w:val="00F04AFD"/>
    <w:rsid w:val="00F05512"/>
    <w:rsid w:val="00F078A9"/>
    <w:rsid w:val="00F07D5E"/>
    <w:rsid w:val="00F11BE7"/>
    <w:rsid w:val="00F12D56"/>
    <w:rsid w:val="00F1397C"/>
    <w:rsid w:val="00F14F4B"/>
    <w:rsid w:val="00F15B6C"/>
    <w:rsid w:val="00F168EC"/>
    <w:rsid w:val="00F201A9"/>
    <w:rsid w:val="00F20EA1"/>
    <w:rsid w:val="00F210CF"/>
    <w:rsid w:val="00F21908"/>
    <w:rsid w:val="00F22F3D"/>
    <w:rsid w:val="00F25823"/>
    <w:rsid w:val="00F25BAC"/>
    <w:rsid w:val="00F26B87"/>
    <w:rsid w:val="00F30734"/>
    <w:rsid w:val="00F30D9F"/>
    <w:rsid w:val="00F31D2A"/>
    <w:rsid w:val="00F32152"/>
    <w:rsid w:val="00F3264D"/>
    <w:rsid w:val="00F33138"/>
    <w:rsid w:val="00F345A2"/>
    <w:rsid w:val="00F3732E"/>
    <w:rsid w:val="00F37596"/>
    <w:rsid w:val="00F37762"/>
    <w:rsid w:val="00F37E35"/>
    <w:rsid w:val="00F4006D"/>
    <w:rsid w:val="00F4033D"/>
    <w:rsid w:val="00F41C10"/>
    <w:rsid w:val="00F41DCF"/>
    <w:rsid w:val="00F43C4A"/>
    <w:rsid w:val="00F43C72"/>
    <w:rsid w:val="00F4650C"/>
    <w:rsid w:val="00F46520"/>
    <w:rsid w:val="00F544CA"/>
    <w:rsid w:val="00F54DEB"/>
    <w:rsid w:val="00F557D5"/>
    <w:rsid w:val="00F562BC"/>
    <w:rsid w:val="00F562EE"/>
    <w:rsid w:val="00F5794C"/>
    <w:rsid w:val="00F616D4"/>
    <w:rsid w:val="00F63A41"/>
    <w:rsid w:val="00F64E69"/>
    <w:rsid w:val="00F666CE"/>
    <w:rsid w:val="00F667C7"/>
    <w:rsid w:val="00F6695E"/>
    <w:rsid w:val="00F67A2B"/>
    <w:rsid w:val="00F70BF6"/>
    <w:rsid w:val="00F71F6D"/>
    <w:rsid w:val="00F72726"/>
    <w:rsid w:val="00F733D9"/>
    <w:rsid w:val="00F7417E"/>
    <w:rsid w:val="00F742DF"/>
    <w:rsid w:val="00F7523E"/>
    <w:rsid w:val="00F758E0"/>
    <w:rsid w:val="00F75DDF"/>
    <w:rsid w:val="00F77539"/>
    <w:rsid w:val="00F77643"/>
    <w:rsid w:val="00F777DF"/>
    <w:rsid w:val="00F80767"/>
    <w:rsid w:val="00F808B7"/>
    <w:rsid w:val="00F80D09"/>
    <w:rsid w:val="00F81D4C"/>
    <w:rsid w:val="00F81DFD"/>
    <w:rsid w:val="00F82843"/>
    <w:rsid w:val="00F82E65"/>
    <w:rsid w:val="00F83B36"/>
    <w:rsid w:val="00F845B8"/>
    <w:rsid w:val="00F853F1"/>
    <w:rsid w:val="00F85858"/>
    <w:rsid w:val="00F8639A"/>
    <w:rsid w:val="00F86443"/>
    <w:rsid w:val="00F86607"/>
    <w:rsid w:val="00F87457"/>
    <w:rsid w:val="00F87661"/>
    <w:rsid w:val="00F90F3D"/>
    <w:rsid w:val="00F93779"/>
    <w:rsid w:val="00F93983"/>
    <w:rsid w:val="00F93D65"/>
    <w:rsid w:val="00F95515"/>
    <w:rsid w:val="00F9640C"/>
    <w:rsid w:val="00F972B2"/>
    <w:rsid w:val="00F978E7"/>
    <w:rsid w:val="00FA2F1B"/>
    <w:rsid w:val="00FA38F7"/>
    <w:rsid w:val="00FA4C54"/>
    <w:rsid w:val="00FA683A"/>
    <w:rsid w:val="00FA7DC4"/>
    <w:rsid w:val="00FB0F8A"/>
    <w:rsid w:val="00FB1043"/>
    <w:rsid w:val="00FB1744"/>
    <w:rsid w:val="00FB17D1"/>
    <w:rsid w:val="00FB21FC"/>
    <w:rsid w:val="00FB2ADD"/>
    <w:rsid w:val="00FB353F"/>
    <w:rsid w:val="00FB3F73"/>
    <w:rsid w:val="00FB6D16"/>
    <w:rsid w:val="00FB7B9B"/>
    <w:rsid w:val="00FB7D8B"/>
    <w:rsid w:val="00FC2421"/>
    <w:rsid w:val="00FC61E4"/>
    <w:rsid w:val="00FC763B"/>
    <w:rsid w:val="00FC77E1"/>
    <w:rsid w:val="00FD0709"/>
    <w:rsid w:val="00FD18C8"/>
    <w:rsid w:val="00FD18DF"/>
    <w:rsid w:val="00FD348D"/>
    <w:rsid w:val="00FD43B0"/>
    <w:rsid w:val="00FD5DB9"/>
    <w:rsid w:val="00FD6771"/>
    <w:rsid w:val="00FD69BC"/>
    <w:rsid w:val="00FE031E"/>
    <w:rsid w:val="00FE09A0"/>
    <w:rsid w:val="00FE12CF"/>
    <w:rsid w:val="00FE202A"/>
    <w:rsid w:val="00FE2E1A"/>
    <w:rsid w:val="00FE3314"/>
    <w:rsid w:val="00FE3A58"/>
    <w:rsid w:val="00FE4AE7"/>
    <w:rsid w:val="00FE4DE5"/>
    <w:rsid w:val="00FE4E8A"/>
    <w:rsid w:val="00FE704C"/>
    <w:rsid w:val="00FE7891"/>
    <w:rsid w:val="00FE7901"/>
    <w:rsid w:val="00FF11AD"/>
    <w:rsid w:val="00FF2169"/>
    <w:rsid w:val="00FF41A3"/>
    <w:rsid w:val="00FF50A0"/>
    <w:rsid w:val="00FF5CE0"/>
    <w:rsid w:val="00FF6AE3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8E15F-3693-4CE4-8108-6E2B20A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F5"/>
    <w:rPr>
      <w:rFonts w:ascii="Times New Roman" w:eastAsia="Times New Roman" w:hAnsi="Times New Roman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4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4F5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4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4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Heading1Char">
    <w:name w:val="Heading 1 Char"/>
    <w:link w:val="Heading1"/>
    <w:uiPriority w:val="9"/>
    <w:rsid w:val="00BE54F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BodyText3">
    <w:name w:val="Body Text 3"/>
    <w:basedOn w:val="Normal"/>
    <w:link w:val="BodyText3Char"/>
    <w:rsid w:val="00BE54F5"/>
    <w:pPr>
      <w:jc w:val="right"/>
    </w:pPr>
    <w:rPr>
      <w:sz w:val="16"/>
      <w:szCs w:val="16"/>
    </w:rPr>
  </w:style>
  <w:style w:type="character" w:customStyle="1" w:styleId="BodyText3Char">
    <w:name w:val="Body Text 3 Char"/>
    <w:link w:val="BodyText3"/>
    <w:rsid w:val="00BE54F5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BE54F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E54F5"/>
    <w:rPr>
      <w:rFonts w:ascii="Calibri Light" w:eastAsia="Times New Roman" w:hAnsi="Calibri Light" w:cs="Times New Roman"/>
      <w:color w:val="2E74B5"/>
      <w:sz w:val="26"/>
      <w:szCs w:val="26"/>
      <w:lang w:val="es-ES_tradnl" w:eastAsia="es-ES"/>
    </w:rPr>
  </w:style>
  <w:style w:type="character" w:customStyle="1" w:styleId="Heading3Char">
    <w:name w:val="Heading 3 Char"/>
    <w:link w:val="Heading3"/>
    <w:uiPriority w:val="9"/>
    <w:rsid w:val="00BE54F5"/>
    <w:rPr>
      <w:rFonts w:ascii="Calibri Light" w:eastAsia="Times New Roman" w:hAnsi="Calibri Light" w:cs="Times New Roman"/>
      <w:color w:val="1F4D78"/>
      <w:sz w:val="24"/>
      <w:szCs w:val="24"/>
      <w:lang w:val="es-ES_tradnl" w:eastAsia="es-ES"/>
    </w:rPr>
  </w:style>
  <w:style w:type="paragraph" w:styleId="BodyText2">
    <w:name w:val="Body Text 2"/>
    <w:basedOn w:val="Normal"/>
    <w:link w:val="BodyText2Char"/>
    <w:uiPriority w:val="99"/>
    <w:unhideWhenUsed/>
    <w:rsid w:val="00BE54F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E54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uiPriority w:val="99"/>
    <w:unhideWhenUsed/>
    <w:rsid w:val="00677764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144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s-SV" w:eastAsia="es-SV"/>
    </w:rPr>
  </w:style>
  <w:style w:type="paragraph" w:styleId="TOC1">
    <w:name w:val="toc 1"/>
    <w:basedOn w:val="Normal"/>
    <w:next w:val="Normal"/>
    <w:autoRedefine/>
    <w:uiPriority w:val="39"/>
    <w:unhideWhenUsed/>
    <w:rsid w:val="00AB14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6FC2"/>
    <w:pPr>
      <w:tabs>
        <w:tab w:val="right" w:leader="dot" w:pos="9394"/>
      </w:tabs>
      <w:spacing w:after="100"/>
      <w:ind w:left="328" w:firstLine="90"/>
    </w:pPr>
  </w:style>
  <w:style w:type="paragraph" w:styleId="TOC3">
    <w:name w:val="toc 3"/>
    <w:basedOn w:val="Normal"/>
    <w:next w:val="Normal"/>
    <w:autoRedefine/>
    <w:uiPriority w:val="39"/>
    <w:unhideWhenUsed/>
    <w:rsid w:val="00AB1442"/>
    <w:pPr>
      <w:spacing w:after="100"/>
      <w:ind w:left="400"/>
    </w:pPr>
  </w:style>
  <w:style w:type="character" w:customStyle="1" w:styleId="Heading4Char">
    <w:name w:val="Heading 4 Char"/>
    <w:link w:val="Heading4"/>
    <w:uiPriority w:val="9"/>
    <w:rsid w:val="00AB1442"/>
    <w:rPr>
      <w:rFonts w:ascii="Calibri Light" w:eastAsia="Times New Roman" w:hAnsi="Calibri Light" w:cs="Times New Roman"/>
      <w:i/>
      <w:iCs/>
      <w:color w:val="2E74B5"/>
      <w:sz w:val="20"/>
      <w:szCs w:val="20"/>
      <w:lang w:val="es-ES_tradnl" w:eastAsia="es-ES"/>
    </w:rPr>
  </w:style>
  <w:style w:type="paragraph" w:customStyle="1" w:styleId="Default">
    <w:name w:val="Default"/>
    <w:rsid w:val="000C0E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E72844"/>
  </w:style>
  <w:style w:type="character" w:customStyle="1" w:styleId="FootnoteTextChar">
    <w:name w:val="Footnote Text Char"/>
    <w:link w:val="FootnoteText"/>
    <w:uiPriority w:val="99"/>
    <w:semiHidden/>
    <w:rsid w:val="00E72844"/>
    <w:rPr>
      <w:rFonts w:ascii="Times New Roman" w:eastAsia="Times New Roman" w:hAnsi="Times New Roman"/>
      <w:lang w:val="es-ES_tradnl" w:eastAsia="es-ES"/>
    </w:rPr>
  </w:style>
  <w:style w:type="character" w:styleId="FootnoteReference">
    <w:name w:val="footnote reference"/>
    <w:semiHidden/>
    <w:unhideWhenUsed/>
    <w:rsid w:val="00E72844"/>
    <w:rPr>
      <w:vertAlign w:val="superscript"/>
    </w:rPr>
  </w:style>
  <w:style w:type="paragraph" w:customStyle="1" w:styleId="Textoindependiente1">
    <w:name w:val="Texto independiente 1"/>
    <w:basedOn w:val="BodyText2"/>
    <w:rsid w:val="00083368"/>
    <w:rPr>
      <w:rFonts w:ascii="Calibri" w:hAnsi="Calibri"/>
      <w:lang w:val="en-US" w:eastAsia="en-US"/>
    </w:rPr>
  </w:style>
  <w:style w:type="paragraph" w:customStyle="1" w:styleId="Outline1L1">
    <w:name w:val="Outline1_L1"/>
    <w:basedOn w:val="Normal"/>
    <w:next w:val="Outline1L2"/>
    <w:uiPriority w:val="99"/>
    <w:rsid w:val="00083368"/>
    <w:pPr>
      <w:keepNext/>
      <w:numPr>
        <w:numId w:val="9"/>
      </w:numPr>
      <w:spacing w:after="240"/>
      <w:outlineLvl w:val="0"/>
    </w:pPr>
    <w:rPr>
      <w:rFonts w:eastAsia="MS Mincho"/>
      <w:sz w:val="24"/>
      <w:szCs w:val="24"/>
      <w:lang w:val="en-US" w:eastAsia="en-US"/>
    </w:rPr>
  </w:style>
  <w:style w:type="paragraph" w:customStyle="1" w:styleId="Outline1L2">
    <w:name w:val="Outline1_L2"/>
    <w:basedOn w:val="Outline1L1"/>
    <w:next w:val="Outline1L1"/>
    <w:uiPriority w:val="99"/>
    <w:rsid w:val="00083368"/>
    <w:pPr>
      <w:numPr>
        <w:ilvl w:val="1"/>
      </w:numPr>
      <w:outlineLvl w:val="1"/>
    </w:pPr>
  </w:style>
  <w:style w:type="paragraph" w:customStyle="1" w:styleId="Outline1L3">
    <w:name w:val="Outline1_L3"/>
    <w:basedOn w:val="Outline1L2"/>
    <w:next w:val="Outline1L1"/>
    <w:uiPriority w:val="99"/>
    <w:rsid w:val="00083368"/>
    <w:pPr>
      <w:keepNext w:val="0"/>
      <w:numPr>
        <w:ilvl w:val="2"/>
      </w:numPr>
      <w:tabs>
        <w:tab w:val="num" w:pos="2241"/>
      </w:tabs>
      <w:outlineLvl w:val="2"/>
    </w:pPr>
  </w:style>
  <w:style w:type="paragraph" w:customStyle="1" w:styleId="Outline1L4">
    <w:name w:val="Outline1_L4"/>
    <w:basedOn w:val="Outline1L3"/>
    <w:next w:val="Normal"/>
    <w:uiPriority w:val="99"/>
    <w:rsid w:val="00083368"/>
    <w:pPr>
      <w:numPr>
        <w:ilvl w:val="3"/>
      </w:numPr>
      <w:tabs>
        <w:tab w:val="clear" w:pos="2880"/>
        <w:tab w:val="num" w:pos="2241"/>
        <w:tab w:val="num" w:pos="2870"/>
      </w:tabs>
      <w:outlineLvl w:val="3"/>
    </w:pPr>
  </w:style>
  <w:style w:type="paragraph" w:customStyle="1" w:styleId="Outline1L5">
    <w:name w:val="Outline1_L5"/>
    <w:basedOn w:val="Outline1L4"/>
    <w:next w:val="Normal"/>
    <w:uiPriority w:val="99"/>
    <w:rsid w:val="00083368"/>
    <w:pPr>
      <w:numPr>
        <w:ilvl w:val="4"/>
      </w:numPr>
      <w:outlineLvl w:val="4"/>
    </w:pPr>
  </w:style>
  <w:style w:type="paragraph" w:customStyle="1" w:styleId="Outline1L6">
    <w:name w:val="Outline1_L6"/>
    <w:basedOn w:val="Outline1L5"/>
    <w:next w:val="Normal"/>
    <w:uiPriority w:val="99"/>
    <w:rsid w:val="00083368"/>
    <w:pPr>
      <w:numPr>
        <w:ilvl w:val="5"/>
      </w:numPr>
      <w:outlineLvl w:val="5"/>
    </w:pPr>
  </w:style>
  <w:style w:type="character" w:customStyle="1" w:styleId="Heading5Char">
    <w:name w:val="Heading 5 Char"/>
    <w:link w:val="Heading5"/>
    <w:uiPriority w:val="9"/>
    <w:rsid w:val="005E444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styleId="SubtleReference">
    <w:name w:val="Subtle Reference"/>
    <w:uiPriority w:val="31"/>
    <w:qFormat/>
    <w:rsid w:val="00AD19BE"/>
    <w:rPr>
      <w:smallCaps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AD19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D19BE"/>
    <w:rPr>
      <w:rFonts w:ascii="Times New Roman" w:eastAsia="Times New Roman" w:hAnsi="Times New Roman"/>
      <w:i/>
      <w:iCs/>
      <w:color w:val="404040"/>
      <w:lang w:val="es-ES_tradnl" w:eastAsia="es-ES"/>
    </w:rPr>
  </w:style>
  <w:style w:type="paragraph" w:styleId="EndnoteText">
    <w:name w:val="endnote text"/>
    <w:basedOn w:val="Normal"/>
    <w:link w:val="EndnoteTextChar"/>
    <w:rsid w:val="00F80D09"/>
    <w:rPr>
      <w:lang w:val="es-ES"/>
    </w:rPr>
  </w:style>
  <w:style w:type="character" w:customStyle="1" w:styleId="EndnoteTextChar">
    <w:name w:val="Endnote Text Char"/>
    <w:link w:val="EndnoteText"/>
    <w:rsid w:val="00F80D09"/>
    <w:rPr>
      <w:rFonts w:ascii="Times New Roman" w:eastAsia="Times New Roman" w:hAnsi="Times New Roman"/>
      <w:lang w:val="es-ES" w:eastAsia="es-ES"/>
    </w:rPr>
  </w:style>
  <w:style w:type="character" w:styleId="CommentReference">
    <w:name w:val="annotation reference"/>
    <w:uiPriority w:val="99"/>
    <w:semiHidden/>
    <w:unhideWhenUsed/>
    <w:rsid w:val="00F5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94C"/>
  </w:style>
  <w:style w:type="character" w:customStyle="1" w:styleId="CommentTextChar">
    <w:name w:val="Comment Text Char"/>
    <w:link w:val="CommentText"/>
    <w:uiPriority w:val="99"/>
    <w:semiHidden/>
    <w:rsid w:val="00F5794C"/>
    <w:rPr>
      <w:rFonts w:ascii="Times New Roman" w:eastAsia="Times New Roman" w:hAnsi="Times New Roman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9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794C"/>
    <w:rPr>
      <w:rFonts w:ascii="Times New Roman" w:eastAsia="Times New Roman" w:hAnsi="Times New Roman"/>
      <w:b/>
      <w:bCs/>
      <w:lang w:val="es-ES_tradnl" w:eastAsia="es-ES"/>
    </w:rPr>
  </w:style>
  <w:style w:type="table" w:customStyle="1" w:styleId="Tablaconcuadrcula4-nfasis11">
    <w:name w:val="Tabla con cuadrícula 4 - Énfasis 11"/>
    <w:basedOn w:val="TableNormal"/>
    <w:uiPriority w:val="49"/>
    <w:rsid w:val="003468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on">
    <w:name w:val="Revision"/>
    <w:hidden/>
    <w:uiPriority w:val="99"/>
    <w:semiHidden/>
    <w:rsid w:val="00714E28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67DFC"/>
    <w:pPr>
      <w:spacing w:before="100" w:beforeAutospacing="1" w:after="100" w:afterAutospacing="1"/>
    </w:pPr>
    <w:rPr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4728B-F6FF-4247-8AF5-E3C62BE2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4050</Words>
  <Characters>22275</Characters>
  <Application>Microsoft Office Word</Application>
  <DocSecurity>4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26273</CharactersWithSpaces>
  <SharedDoc>false</SharedDoc>
  <HLinks>
    <vt:vector size="114" baseType="variant"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_Toc516748922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_Toc516748921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_Toc516748920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_Toc516748919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_Toc516748918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_Toc516748917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_Toc516748916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_Toc516748915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_Toc516748914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_Toc516748913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_Toc516748912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_Toc516748911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_Toc516748910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_Toc516748909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_Toc516748908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_Toc516748907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_Toc516748906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_Toc516748905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_Toc516748904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Fermin Garcia</dc:creator>
  <cp:lastModifiedBy>Gerber Augusto Ardon Lemus</cp:lastModifiedBy>
  <cp:revision>2</cp:revision>
  <cp:lastPrinted>2022-06-01T19:51:00Z</cp:lastPrinted>
  <dcterms:created xsi:type="dcterms:W3CDTF">2022-06-06T19:23:00Z</dcterms:created>
  <dcterms:modified xsi:type="dcterms:W3CDTF">2022-06-06T19:23:00Z</dcterms:modified>
</cp:coreProperties>
</file>