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3141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</w:p>
    <w:p w14:paraId="49177888" w14:textId="77777777" w:rsidR="008274EB" w:rsidRPr="00D62284" w:rsidRDefault="00AF4C2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F3409AF" wp14:editId="7A6456E9">
            <wp:simplePos x="0" y="0"/>
            <wp:positionH relativeFrom="margin">
              <wp:posOffset>-178132</wp:posOffset>
            </wp:positionH>
            <wp:positionV relativeFrom="paragraph">
              <wp:posOffset>89172</wp:posOffset>
            </wp:positionV>
            <wp:extent cx="6315699" cy="8160011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37" cy="8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7E528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69EEAA7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399CC835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EB9744B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3BAF2F52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AB740F8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3443E4F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C176333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84550CD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639A7EF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CEC3F0A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E3B137C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B67665F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8CF1AAF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C3F930C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DF92DA4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3B58D734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A44AB93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776FD66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AE3E11C" w14:textId="77777777" w:rsidR="00BE54F5" w:rsidRPr="00D62284" w:rsidRDefault="00593A7A" w:rsidP="00593A7A">
      <w:pPr>
        <w:tabs>
          <w:tab w:val="left" w:pos="0"/>
          <w:tab w:val="left" w:pos="9214"/>
        </w:tabs>
        <w:autoSpaceDE w:val="0"/>
        <w:autoSpaceDN w:val="0"/>
        <w:adjustRightInd w:val="0"/>
        <w:ind w:left="3240" w:hanging="4658"/>
        <w:jc w:val="center"/>
        <w:rPr>
          <w:rFonts w:ascii="Museo Sans 300" w:hAnsi="Museo Sans 300"/>
          <w:b/>
          <w:sz w:val="22"/>
          <w:szCs w:val="22"/>
        </w:rPr>
      </w:pPr>
      <w:r w:rsidRPr="00D62284">
        <w:rPr>
          <w:rFonts w:ascii="Museo Sans 300" w:hAnsi="Museo Sans 300"/>
          <w:b/>
          <w:sz w:val="22"/>
          <w:szCs w:val="22"/>
        </w:rPr>
        <w:t xml:space="preserve">          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INFORME </w:t>
      </w:r>
      <w:r w:rsidR="005768FD" w:rsidRPr="00D62284">
        <w:rPr>
          <w:rFonts w:ascii="Museo Sans 300" w:hAnsi="Museo Sans 300"/>
          <w:b/>
          <w:sz w:val="22"/>
          <w:szCs w:val="22"/>
        </w:rPr>
        <w:t xml:space="preserve">PRELIMINAR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DE GESTION DE LAS FINANZAS </w:t>
      </w:r>
      <w:r w:rsidR="00BF251D" w:rsidRPr="00D62284">
        <w:rPr>
          <w:rFonts w:ascii="Museo Sans 300" w:hAnsi="Museo Sans 300"/>
          <w:b/>
          <w:sz w:val="22"/>
          <w:szCs w:val="22"/>
        </w:rPr>
        <w:t>PÚBLICAS</w:t>
      </w:r>
    </w:p>
    <w:p w14:paraId="233FCBB6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176C51B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4747B4C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3AAC7F6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9C5E86E" w14:textId="77777777" w:rsidR="00BE54F5" w:rsidRPr="00D62284" w:rsidRDefault="001E1C63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5767D6" w:rsidRPr="00D62284">
        <w:rPr>
          <w:rFonts w:ascii="Museo Sans 300" w:hAnsi="Museo Sans 300"/>
          <w:b/>
          <w:bCs/>
          <w:sz w:val="22"/>
          <w:szCs w:val="22"/>
        </w:rPr>
        <w:t>A</w:t>
      </w:r>
      <w:r w:rsidR="00065616" w:rsidRPr="00D62284">
        <w:rPr>
          <w:rFonts w:ascii="Museo Sans 300" w:hAnsi="Museo Sans 300"/>
          <w:b/>
          <w:bCs/>
          <w:sz w:val="22"/>
          <w:szCs w:val="22"/>
        </w:rPr>
        <w:t>l mes de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>diciembre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D62284">
        <w:rPr>
          <w:rFonts w:ascii="Museo Sans 300" w:hAnsi="Museo Sans 300"/>
          <w:b/>
          <w:bCs/>
          <w:sz w:val="22"/>
          <w:szCs w:val="22"/>
        </w:rPr>
        <w:t>202</w:t>
      </w:r>
      <w:r w:rsidR="0064579A" w:rsidRPr="00D62284">
        <w:rPr>
          <w:rFonts w:ascii="Museo Sans 300" w:hAnsi="Museo Sans 300"/>
          <w:b/>
          <w:bCs/>
          <w:sz w:val="22"/>
          <w:szCs w:val="22"/>
        </w:rPr>
        <w:t>2</w:t>
      </w:r>
    </w:p>
    <w:p w14:paraId="6872A969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1DA1F1A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7E7E8E1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6DE0809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EE70454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F9DFA28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A92C319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B536581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969F462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0D12A73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3561EE5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San Salvador, 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 xml:space="preserve">febrero 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de </w:t>
      </w:r>
      <w:r w:rsidR="00042C94" w:rsidRPr="00D62284">
        <w:rPr>
          <w:rFonts w:ascii="Museo Sans 300" w:hAnsi="Museo Sans 300"/>
          <w:b/>
          <w:bCs/>
          <w:sz w:val="22"/>
          <w:szCs w:val="22"/>
        </w:rPr>
        <w:t>202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>3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</w:p>
    <w:p w14:paraId="49EC1BF9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1F9EA51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B9EC425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4D7AB6A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0D7E889" w14:textId="77777777" w:rsidR="00F43C4A" w:rsidRPr="00D62284" w:rsidRDefault="00F43C4A" w:rsidP="00F43C4A">
      <w:pPr>
        <w:rPr>
          <w:rFonts w:ascii="Museo Sans 300" w:hAnsi="Museo Sans 300"/>
          <w:sz w:val="22"/>
          <w:szCs w:val="22"/>
          <w:lang w:val="es-MX"/>
        </w:rPr>
      </w:pPr>
      <w:bookmarkStart w:id="0" w:name="_Toc505951453"/>
    </w:p>
    <w:p w14:paraId="1600A03F" w14:textId="77777777" w:rsidR="00D43064" w:rsidRPr="00D62284" w:rsidRDefault="00D43064">
      <w:pPr>
        <w:rPr>
          <w:rFonts w:ascii="Museo Sans 300" w:hAnsi="Museo Sans 300"/>
          <w:sz w:val="22"/>
          <w:szCs w:val="22"/>
        </w:rPr>
      </w:pPr>
      <w:bookmarkStart w:id="1" w:name="_Toc388257452"/>
      <w:bookmarkStart w:id="2" w:name="_Toc319049207"/>
      <w:bookmarkStart w:id="3" w:name="_Toc308681661"/>
      <w:bookmarkStart w:id="4" w:name="_Hlk112070927"/>
      <w:bookmarkEnd w:id="0"/>
      <w:r w:rsidRPr="00D62284">
        <w:rPr>
          <w:rFonts w:ascii="Museo Sans 300" w:hAnsi="Museo Sans 300"/>
          <w:sz w:val="22"/>
          <w:szCs w:val="22"/>
        </w:rPr>
        <w:br w:type="page"/>
      </w:r>
    </w:p>
    <w:tbl>
      <w:tblPr>
        <w:tblW w:w="11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  <w:gridCol w:w="177"/>
        <w:gridCol w:w="258"/>
        <w:gridCol w:w="258"/>
        <w:gridCol w:w="845"/>
      </w:tblGrid>
      <w:tr w:rsidR="000F2598" w:rsidRPr="009671C8" w14:paraId="2DF4EA9C" w14:textId="77777777" w:rsidTr="00860DE7">
        <w:trPr>
          <w:trHeight w:val="9725"/>
        </w:trPr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sdt>
            <w:sdtPr>
              <w:rPr>
                <w:rFonts w:ascii="Museo Sans 300" w:hAnsi="Museo Sans 300"/>
                <w:sz w:val="22"/>
                <w:szCs w:val="22"/>
                <w:lang w:val="es-MX"/>
              </w:rPr>
              <w:id w:val="52439633"/>
              <w:docPartObj>
                <w:docPartGallery w:val="Table of Contents"/>
                <w:docPartUnique/>
              </w:docPartObj>
            </w:sdtPr>
            <w:sdtEndPr/>
            <w:sdtContent>
              <w:p w14:paraId="31104783" w14:textId="77777777" w:rsidR="006B1211" w:rsidRPr="00D62284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t>Contenido</w:t>
                </w:r>
              </w:p>
              <w:p w14:paraId="58943006" w14:textId="77777777" w:rsidR="00CA038A" w:rsidRPr="00D62284" w:rsidRDefault="00CA038A">
                <w:pPr>
                  <w:pStyle w:val="TDC1"/>
                  <w:tabs>
                    <w:tab w:val="right" w:leader="dot" w:pos="9394"/>
                  </w:tabs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</w:p>
              <w:p w14:paraId="4803424D" w14:textId="227956CC" w:rsidR="0096209A" w:rsidRPr="00D62284" w:rsidRDefault="006B1211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begin"/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instrText xml:space="preserve"> TOC \o "1-3" \h \z \u </w:instrText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separate"/>
                </w:r>
                <w:hyperlink w:anchor="_Toc116389128" w:history="1"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RESUMEN EJECUTIVO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_Toc116389128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3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401361EF" w14:textId="436E36C6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29" w:history="1"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 xml:space="preserve">I.  La ejecución financiera del Sector Público No Financiero (SPNF) a </w:t>
                  </w:r>
                  <w:r w:rsidR="00712719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diciembre</w:t>
                  </w:r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 xml:space="preserve"> 2022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_Toc116389129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3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42A0DF1F" w14:textId="64E055CB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0" w:history="1"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II. Entorno Macroeconómico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_Toc116389130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4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309C852D" w14:textId="27F0ECA5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1" w:history="1"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GESTION DE LAS FINANZAS PÚBLICAS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_Toc116389131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6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7FADCBD0" w14:textId="554B73E7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2" w:history="1"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1. Ingresos Totales del SPNF (ver anexo 3).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_Toc116389132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6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4970DACE" w14:textId="020DD4F1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3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1.1 Ingresos Tributarios y Contribuciones Especiales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_Toc116389133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6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0986EE93" w14:textId="3B5166A5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4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1.2 Ingresos no Tributarios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_Toc116389134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11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187B39CC" w14:textId="51DFDB8F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5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1.3 Superávit de las Empresas Públicas No Financieras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_Toc116389135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11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4A650A05" w14:textId="00D426F6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6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1.4 Donaciones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_Toc116389136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213E4386" w14:textId="79C963A5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7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2. Gastos del Sector Público No Financiero</w:t>
                  </w:r>
                  <w:r w:rsidR="0096209A" w:rsidRPr="00D62284">
                    <w:rPr>
                      <w:rStyle w:val="Hipervnculo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 xml:space="preserve"> (ver anexo 1 y 2)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_Toc116389137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6CB1401F" w14:textId="3B2B6F1A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8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2.1 Gastos corrientes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_Toc116389138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66F5DA4C" w14:textId="45071B82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39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 Deuda del SPNF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_Toc116389139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17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00C48B53" w14:textId="59B0092E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0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3.1 Deuda Interna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_Toc116389140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18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0F21B058" w14:textId="7CEA3584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1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3.2 Deuda Externa.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_Toc116389141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18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1A76D47F" w14:textId="58B657A0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2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3.3 Servicio de la deuda del SPNF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_Toc116389142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18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5BC2D7C7" w14:textId="1C3E776F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3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 Resultados Globales del SPNF (ver anexo 1 y 2)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_Toc116389143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5CDCC1FF" w14:textId="63383B91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4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4.1 Balance Primario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_Toc116389144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1C0B4DEC" w14:textId="0957C561" w:rsidR="0096209A" w:rsidRPr="00D62284" w:rsidRDefault="002321F4">
                <w:pPr>
                  <w:pStyle w:val="TD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5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4.2 Balance global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_Toc116389145 \h </w:instrTex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78B91AFE" w14:textId="1A448EB1" w:rsidR="0096209A" w:rsidRPr="00D62284" w:rsidRDefault="002321F4">
                <w:pPr>
                  <w:pStyle w:val="TD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16389146" w:history="1">
                  <w:r w:rsidR="0096209A" w:rsidRPr="00D62284">
                    <w:rPr>
                      <w:rStyle w:val="Hipervnculo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5. ANEXOS</w:t>
                  </w:r>
                  <w:r w:rsidR="0096209A" w:rsidRPr="00D62284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96209A" w:rsidRPr="00931A21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96209A" w:rsidRPr="00931A21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  <w:instrText xml:space="preserve"> PAGEREF _Toc116389146 \h </w:instrText>
                  </w:r>
                  <w:r w:rsidR="0096209A" w:rsidRPr="00931A21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</w:r>
                  <w:r w:rsidR="0096209A" w:rsidRPr="00931A21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9671C8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  <w:t>21</w:t>
                  </w:r>
                  <w:r w:rsidR="0096209A" w:rsidRPr="00931A21">
                    <w:rPr>
                      <w:rFonts w:ascii="Museo Sans 300" w:hAnsi="Museo Sans 300"/>
                      <w:b/>
                      <w:i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14:paraId="704D6E51" w14:textId="77777777" w:rsidR="006B1211" w:rsidRPr="00D62284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end"/>
                </w:r>
              </w:p>
            </w:sdtContent>
          </w:sdt>
          <w:p w14:paraId="658E16EE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7128BE5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D8D8517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937A655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6F5090E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16959CA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1A69651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EE1658A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80116E0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CD794F9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57AE933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7513413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147A1FB" w14:textId="77777777" w:rsidR="00085376" w:rsidRPr="00D62284" w:rsidRDefault="0008537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41DF54C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C5839A8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FA89BBA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26B032B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E653EDF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D29B7F7" w14:textId="77777777" w:rsidR="00593A7A" w:rsidRPr="00D62284" w:rsidRDefault="00593A7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4837F75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3BD87BF" w14:textId="77777777" w:rsidR="006B1211" w:rsidRPr="00D62284" w:rsidRDefault="006B1211" w:rsidP="00CC22FD">
            <w:pPr>
              <w:pStyle w:val="Ttulo2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5" w:name="_Toc56581203"/>
            <w:bookmarkStart w:id="6" w:name="_Toc116389128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RESUMEN EJECUTIVO</w:t>
            </w:r>
            <w:bookmarkEnd w:id="5"/>
            <w:bookmarkEnd w:id="6"/>
          </w:p>
          <w:p w14:paraId="190D4E81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E897378" w14:textId="77777777" w:rsidR="006B1211" w:rsidRPr="00D62284" w:rsidRDefault="006B1211" w:rsidP="00CF2567">
            <w:pPr>
              <w:pStyle w:val="Ttulo2"/>
              <w:ind w:left="330" w:hanging="330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7" w:name="_Toc116389129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I.  La ejecución financiera del Sector Público No Financiero (SPNF)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bookmarkEnd w:id="7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6A1F9CCE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9CF7F59" w14:textId="77777777" w:rsidR="005E2F06" w:rsidRPr="00D62284" w:rsidRDefault="005E2F06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Fiscal del SPNF consolidado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presenta un </w:t>
            </w:r>
            <w:r w:rsidR="00FA06EA" w:rsidRPr="00D62284">
              <w:rPr>
                <w:rFonts w:ascii="Museo Sans 300" w:hAnsi="Museo Sans 300"/>
                <w:sz w:val="22"/>
                <w:szCs w:val="22"/>
                <w:lang w:val="es-MX"/>
              </w:rPr>
              <w:t>déficit (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sin pensiones) de </w:t>
            </w:r>
            <w:r w:rsidR="002C3887">
              <w:rPr>
                <w:rFonts w:ascii="Museo Sans 300" w:hAnsi="Museo Sans 300"/>
                <w:sz w:val="22"/>
                <w:szCs w:val="22"/>
                <w:lang w:val="es-MX"/>
              </w:rPr>
              <w:t>-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542.0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al </w:t>
            </w:r>
            <w:r w:rsidR="00EB6847" w:rsidRPr="00D62284">
              <w:rPr>
                <w:rFonts w:ascii="Museo Sans 300" w:hAnsi="Museo Sans 300"/>
                <w:sz w:val="22"/>
                <w:szCs w:val="22"/>
                <w:lang w:val="es-MX"/>
              </w:rPr>
              <w:t>-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1.7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PIB, con un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mejora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EB6847" w:rsidRPr="00D62284">
              <w:rPr>
                <w:rFonts w:ascii="Museo Sans 300" w:hAnsi="Museo Sans 300"/>
                <w:sz w:val="22"/>
                <w:szCs w:val="22"/>
                <w:lang w:val="es-MX"/>
              </w:rPr>
              <w:t>2.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</w:t>
            </w:r>
            <w:r w:rsidR="0053379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porcentuales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del PIB en relación al resultado 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 Al incorporar el pago de las pensiones por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318.4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el </w:t>
            </w:r>
            <w:r w:rsidR="007551C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déficit </w:t>
            </w:r>
            <w:r w:rsidR="00EB684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amplía a </w:t>
            </w:r>
            <w:r w:rsidR="007551CE" w:rsidRPr="00D62284">
              <w:rPr>
                <w:rFonts w:ascii="Museo Sans 300" w:hAnsi="Museo Sans 300"/>
                <w:sz w:val="22"/>
                <w:szCs w:val="22"/>
                <w:lang w:val="es-MX"/>
              </w:rPr>
              <w:t>-</w:t>
            </w:r>
            <w:r w:rsidR="00EB70BC" w:rsidRPr="00D62284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860.3</w:t>
            </w:r>
            <w:r w:rsidR="007551C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con </w:t>
            </w:r>
            <w:r w:rsidR="00660D4C" w:rsidRPr="00D62284">
              <w:rPr>
                <w:rFonts w:ascii="Museo Sans 300" w:hAnsi="Museo Sans 300"/>
                <w:sz w:val="22"/>
                <w:szCs w:val="22"/>
                <w:lang w:val="es-MX"/>
              </w:rPr>
              <w:t>un</w:t>
            </w:r>
            <w:r w:rsidR="00DD0040" w:rsidRPr="00D62284">
              <w:rPr>
                <w:rFonts w:ascii="Museo Sans 300" w:hAnsi="Museo Sans 300"/>
                <w:sz w:val="22"/>
                <w:szCs w:val="22"/>
                <w:lang w:val="es-MX"/>
              </w:rPr>
              <w:t>a mejora</w:t>
            </w:r>
            <w:r w:rsidR="00026278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745.9 </w:t>
            </w:r>
            <w:r w:rsidR="00026278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 con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respecto a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 </w:t>
            </w:r>
            <w:r w:rsidR="00A35B2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mismo período del 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>año anterior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 En términos del PIB el déficit representa un -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2.7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14:paraId="0855647C" w14:textId="77777777" w:rsidR="006B1211" w:rsidRPr="00D62284" w:rsidRDefault="006B1211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EFC92C8" w14:textId="77777777" w:rsidR="006B1211" w:rsidRPr="00D62284" w:rsidRDefault="006B1211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primario (con pensiones), obtuvo un </w:t>
            </w:r>
            <w:r w:rsidR="005E2F06" w:rsidRPr="00D62284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631.2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EB6847" w:rsidRPr="00D62284">
              <w:rPr>
                <w:rFonts w:ascii="Museo Sans 300" w:hAnsi="Museo Sans 300"/>
                <w:sz w:val="22"/>
                <w:szCs w:val="22"/>
                <w:lang w:val="es-MX"/>
              </w:rPr>
              <w:t>.0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PIB, gener</w:t>
            </w:r>
            <w:r w:rsidR="00533792" w:rsidRPr="00D62284">
              <w:rPr>
                <w:rFonts w:ascii="Museo Sans 300" w:hAnsi="Museo Sans 300"/>
                <w:sz w:val="22"/>
                <w:szCs w:val="22"/>
                <w:lang w:val="es-MX"/>
              </w:rPr>
              <w:t>ando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una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>variación positiva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933.7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53379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respecto al resultado de 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</w:p>
          <w:p w14:paraId="4A97E32A" w14:textId="77777777" w:rsidR="006B1211" w:rsidRPr="00D62284" w:rsidRDefault="006B1211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FF29A4D" w14:textId="77777777" w:rsidR="006615BE" w:rsidRPr="00D62284" w:rsidRDefault="005E2F06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6A326C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6A326C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valor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7,911.9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</w:t>
            </w:r>
            <w:r w:rsidR="0053379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anual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7551CE" w:rsidRPr="00D62284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2.1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, equivalente a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852.4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el aumento en los 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>i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ngresos </w:t>
            </w:r>
            <w:r w:rsidR="00A35B2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tributarios de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737.9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6615B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totales </w:t>
            </w:r>
            <w:r w:rsidR="00A35B2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fueron equivalentes a 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24.9</w:t>
            </w:r>
            <w:r w:rsidR="006615BE"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PIB.</w:t>
            </w:r>
          </w:p>
          <w:p w14:paraId="59163FDB" w14:textId="77777777" w:rsidR="005E2F06" w:rsidRPr="00D62284" w:rsidRDefault="005E2F0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59CA420" w14:textId="77777777" w:rsidR="006615BE" w:rsidRDefault="006615B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La recaudación tributaria (incluyendo las contribuciones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especia</w:t>
            </w:r>
            <w:r w:rsidR="0024477B"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>es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) alcanzó un monto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6,571.5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incrementándose con respecto a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737.9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representando una carga tributaria de 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20.7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relación al PIB, </w:t>
            </w:r>
            <w:r w:rsidR="00A269A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superior en </w:t>
            </w:r>
            <w:r w:rsidR="00EB6847" w:rsidRPr="00D62284">
              <w:rPr>
                <w:rFonts w:ascii="Museo Sans 300" w:hAnsi="Museo Sans 300"/>
                <w:sz w:val="22"/>
                <w:szCs w:val="22"/>
                <w:lang w:val="es-MX"/>
              </w:rPr>
              <w:t>0.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r w:rsidR="00A269A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porcentuales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la registrada 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Por fuente específica, </w:t>
            </w:r>
            <w:r w:rsidR="006B616F" w:rsidRPr="00D62284">
              <w:rPr>
                <w:rFonts w:ascii="Museo Sans 300" w:hAnsi="Museo Sans 300"/>
                <w:sz w:val="22"/>
                <w:szCs w:val="22"/>
                <w:lang w:val="es-MX"/>
              </w:rPr>
              <w:t>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l Impuesto al Valor Agregado registró un flujo acumulado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3,024.6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lo que representa un incremento de 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8.4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 El Impuesto sobre la Renta alcanzó un valor recaudado de $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2,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782.3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observándose un incremento 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5.0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respecto al </w:t>
            </w:r>
            <w:r w:rsidR="00026278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mismo período del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año anterior. La recaudación por Derechos Arancelarios a la Importación de Bienes registró un total de $</w:t>
            </w:r>
            <w:r w:rsidR="00AB0D9C" w:rsidRPr="00D62284">
              <w:rPr>
                <w:rFonts w:ascii="Museo Sans 300" w:hAnsi="Museo Sans 300"/>
                <w:sz w:val="22"/>
                <w:szCs w:val="22"/>
                <w:lang w:val="es-MX"/>
              </w:rPr>
              <w:t>318.8</w:t>
            </w:r>
            <w:r w:rsidR="00A269A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millones, 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un incremento de $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7.6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esta recuperación está asociada al incremento observado en las importaciones de bienes </w:t>
            </w:r>
            <w:r w:rsidR="00A35B2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A35B2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 xml:space="preserve">2022 fue de </w:t>
            </w:r>
            <w:r w:rsidR="00705B0A" w:rsidRPr="00D62284">
              <w:rPr>
                <w:rFonts w:ascii="Museo Sans 300" w:hAnsi="Museo Sans 300"/>
                <w:sz w:val="22"/>
                <w:szCs w:val="22"/>
                <w:lang w:val="es-MX"/>
              </w:rPr>
              <w:t>17.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>0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</w:p>
          <w:p w14:paraId="25514B39" w14:textId="77777777" w:rsidR="003358F8" w:rsidRPr="00D62284" w:rsidRDefault="003358F8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ABF9D41" w14:textId="77777777" w:rsidR="00C45AB2" w:rsidRDefault="00C45AB2" w:rsidP="00C45AB2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En cuanto a los Impuestos Específicos al Consumo de Productos,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estos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registraron un valor de $225.9 millones, equivalente a un crecimiento de 0.3%, resultado neto de incrementos y disminuciones </w:t>
            </w:r>
            <w:r w:rsidR="00CC75D6" w:rsidRPr="001E7FB4">
              <w:rPr>
                <w:rFonts w:ascii="Museo Sans 300" w:hAnsi="Museo Sans 300" w:cs="Arial"/>
                <w:sz w:val="22"/>
                <w:szCs w:val="22"/>
              </w:rPr>
              <w:t xml:space="preserve">de </w:t>
            </w:r>
            <w:r w:rsidR="009C4545" w:rsidRPr="001E7FB4">
              <w:rPr>
                <w:rFonts w:ascii="Museo Sans 300" w:hAnsi="Museo Sans 300" w:cs="Arial"/>
                <w:sz w:val="22"/>
                <w:szCs w:val="22"/>
              </w:rPr>
              <w:t xml:space="preserve">todos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sus componentes</w:t>
            </w:r>
            <w:r w:rsidR="00A53D56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64008E65" w14:textId="77777777" w:rsidR="00A53D56" w:rsidRPr="00D62284" w:rsidRDefault="00A53D56" w:rsidP="00C45AB2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046392FC" w14:textId="77777777" w:rsidR="009446B5" w:rsidRPr="00AE22C4" w:rsidRDefault="00C45AB2" w:rsidP="009446B5">
            <w:pPr>
              <w:jc w:val="both"/>
              <w:rPr>
                <w:rFonts w:ascii="Museo Sans 300" w:hAnsi="Museo Sans 300" w:cs="Arial"/>
                <w:strike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Las Contribuciones Especiales alcanzaron un valor de $148.8 millones, experimentando una reducción de $90.6 millones, con relación al año anterior</w:t>
            </w:r>
            <w:r w:rsidR="002C3887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2C3887" w:rsidRPr="00D622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C3887" w:rsidRPr="00AE22C4">
              <w:rPr>
                <w:rFonts w:ascii="Museo Sans 300" w:hAnsi="Museo Sans 300" w:cs="Arial"/>
                <w:sz w:val="22"/>
                <w:szCs w:val="22"/>
              </w:rPr>
              <w:t>básicamente por la finalización de la vigencia de la Contribución Especial a Grandes Contribuyentes que estaba orientada a la Seguridad Pública</w:t>
            </w:r>
            <w:r w:rsidR="009446B5" w:rsidRPr="00AE22C4">
              <w:rPr>
                <w:rFonts w:ascii="Museo Sans 300" w:hAnsi="Museo Sans 300" w:cs="Arial"/>
                <w:sz w:val="22"/>
                <w:szCs w:val="22"/>
              </w:rPr>
              <w:t xml:space="preserve"> y además por la suspensión temporal (durante los meses de abril-septiembre) de la Contribución Especial del Transporte, como parte de las medidas para contrarrestar el impacto de la inflación. </w:t>
            </w:r>
          </w:p>
          <w:p w14:paraId="7B0A7C4D" w14:textId="77777777" w:rsidR="006615BE" w:rsidRPr="009446B5" w:rsidRDefault="00A53D56" w:rsidP="00C45AB2">
            <w:pPr>
              <w:jc w:val="both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  <w:r w:rsidRPr="009446B5">
              <w:rPr>
                <w:rFonts w:ascii="Museo Sans 300" w:hAnsi="Museo Sans 300" w:cs="Arial"/>
                <w:color w:val="FF0000"/>
                <w:sz w:val="22"/>
                <w:szCs w:val="22"/>
              </w:rPr>
              <w:t>.</w:t>
            </w:r>
          </w:p>
          <w:p w14:paraId="5C4F7CFF" w14:textId="77777777" w:rsidR="00A53D56" w:rsidRDefault="00A53D5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07B398C" w14:textId="77777777" w:rsidR="00E36BBA" w:rsidRPr="00D62284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Los ingresos no tributarios a nivel de SPNF registraron un monto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1,124.4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un crecimiento de $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0.4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relación 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425B93D0" w14:textId="77777777" w:rsidR="00E36BBA" w:rsidRPr="00D62284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E427864" w14:textId="77777777" w:rsidR="00E36BBA" w:rsidRPr="00D62284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ejecución del gasto total del SPNF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8,453.8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con </w:t>
            </w:r>
            <w:r w:rsidRPr="00AE22C4">
              <w:rPr>
                <w:rFonts w:ascii="Museo Sans 300" w:hAnsi="Museo Sans 300"/>
                <w:sz w:val="22"/>
                <w:szCs w:val="22"/>
                <w:lang w:val="es-MX"/>
              </w:rPr>
              <w:t xml:space="preserve">un </w:t>
            </w:r>
            <w:r w:rsidR="002C3887" w:rsidRPr="00AE22C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leve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incremento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78.9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al año anterior. </w:t>
            </w:r>
          </w:p>
          <w:p w14:paraId="67116865" w14:textId="77777777" w:rsidR="00E36BBA" w:rsidRPr="00D62284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1DEE341" w14:textId="77777777" w:rsidR="00A3121E" w:rsidRPr="00D62284" w:rsidRDefault="00E36BBA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Los gastos corrientes del SPNF registraron un monto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7,592.3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604C26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gastos de capital del SPNF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alcanzaron un monto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861.6</w:t>
            </w:r>
            <w:r w:rsidR="00604C2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millones, experimentando un 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de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crecimiento de 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12.6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resultado de 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un efecto combinado de una disminución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223.4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en la inversión pública y de un incremento </w:t>
            </w:r>
            <w:r w:rsidR="00604C26" w:rsidRPr="00D62284">
              <w:rPr>
                <w:rFonts w:ascii="Museo Sans 300" w:hAnsi="Museo Sans 300"/>
                <w:sz w:val="22"/>
                <w:szCs w:val="22"/>
                <w:lang w:val="es-MX"/>
              </w:rPr>
              <w:t>por un valor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99.1</w:t>
            </w:r>
            <w:r w:rsidR="00604C2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</w:t>
            </w:r>
            <w:r w:rsidR="002254AF" w:rsidRPr="00D62284">
              <w:rPr>
                <w:rFonts w:ascii="Museo Sans 300" w:hAnsi="Museo Sans 300"/>
                <w:sz w:val="22"/>
                <w:szCs w:val="22"/>
                <w:lang w:val="es-MX"/>
              </w:rPr>
              <w:t>en las transferencias de capital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  <w:r w:rsidR="005C536F" w:rsidRPr="00D62284">
              <w:rPr>
                <w:rFonts w:ascii="Museo Sans 300" w:hAnsi="Museo Sans 300"/>
                <w:sz w:val="22"/>
                <w:szCs w:val="22"/>
                <w:lang w:val="es-MX"/>
              </w:rPr>
              <w:t>Por su parte, e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n términos absolutos la inversión </w:t>
            </w:r>
            <w:r w:rsidR="005F56B0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pública 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>registró un monto de $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691.2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un nivel de 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2.2</w:t>
            </w:r>
            <w:r w:rsidR="00A3121E"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A75C50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7EC0F20D" w14:textId="77777777" w:rsidR="00A3121E" w:rsidRPr="00D62284" w:rsidRDefault="00A3121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B12DAD4" w14:textId="77777777" w:rsidR="00A3121E" w:rsidRPr="00D62284" w:rsidRDefault="00A3121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deuda del SPNF sin incluir pensiones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$1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8,033.</w:t>
            </w:r>
            <w:r w:rsidR="00E61CF3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3C4732" w:rsidRPr="00D62284">
              <w:rPr>
                <w:rFonts w:ascii="Museo Sans 300" w:hAnsi="Museo Sans 300"/>
                <w:sz w:val="22"/>
                <w:szCs w:val="22"/>
                <w:lang w:val="es-MX"/>
              </w:rPr>
              <w:t>5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6.7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PIB. Este valor está compuesto por $1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1,117.3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que corresponden a deuda externa, y representan un </w:t>
            </w:r>
            <w:r w:rsidR="003C4732" w:rsidRPr="00D62284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="0063163B" w:rsidRPr="00D62284">
              <w:rPr>
                <w:rFonts w:ascii="Museo Sans 300" w:hAnsi="Museo Sans 300"/>
                <w:sz w:val="22"/>
                <w:szCs w:val="22"/>
                <w:lang w:val="es-MX"/>
              </w:rPr>
              <w:t>4.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 y $</w:t>
            </w:r>
            <w:r w:rsidR="006066C6" w:rsidRPr="00D62284">
              <w:rPr>
                <w:rFonts w:ascii="Museo Sans 300" w:hAnsi="Museo Sans 300"/>
                <w:sz w:val="22"/>
                <w:szCs w:val="22"/>
                <w:lang w:val="es-MX"/>
              </w:rPr>
              <w:t>6,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915.9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correspondientes a deuda interna, equivalente a un </w:t>
            </w:r>
            <w:r w:rsidR="006066C6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63163B" w:rsidRPr="00D62284">
              <w:rPr>
                <w:rFonts w:ascii="Museo Sans 300" w:hAnsi="Museo Sans 300"/>
                <w:sz w:val="22"/>
                <w:szCs w:val="22"/>
                <w:lang w:val="es-MX"/>
              </w:rPr>
              <w:t>1.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PIB. Al incluir el saldo de Fideicomiso de Obligaciones Previsionales (CIP serie A) por $</w:t>
            </w:r>
            <w:r w:rsidR="0063163B" w:rsidRPr="00D62284">
              <w:rPr>
                <w:rFonts w:ascii="Museo Sans 300" w:hAnsi="Museo Sans 300"/>
                <w:sz w:val="22"/>
                <w:szCs w:val="22"/>
                <w:lang w:val="es-MX"/>
              </w:rPr>
              <w:t>6,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202.2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>y</w:t>
            </w:r>
            <w:r w:rsidR="0031628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representan un </w:t>
            </w:r>
            <w:r w:rsidR="003C4732" w:rsidRPr="00D62284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801623" w:rsidRPr="00D62284">
              <w:rPr>
                <w:rFonts w:ascii="Museo Sans 300" w:hAnsi="Museo Sans 300"/>
                <w:sz w:val="22"/>
                <w:szCs w:val="22"/>
                <w:lang w:val="es-MX"/>
              </w:rPr>
              <w:t>9.5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PIB,</w:t>
            </w:r>
            <w:r w:rsidR="001B183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deuda interna </w:t>
            </w:r>
            <w:r w:rsidR="003358F8">
              <w:rPr>
                <w:rFonts w:ascii="Museo Sans 300" w:hAnsi="Museo Sans 300"/>
                <w:sz w:val="22"/>
                <w:szCs w:val="22"/>
                <w:lang w:val="es-MX"/>
              </w:rPr>
              <w:t xml:space="preserve">asciende a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$1</w:t>
            </w:r>
            <w:r w:rsidR="0059511C" w:rsidRPr="00D62284">
              <w:rPr>
                <w:rFonts w:ascii="Museo Sans 300" w:hAnsi="Museo Sans 300"/>
                <w:sz w:val="22"/>
                <w:szCs w:val="22"/>
                <w:lang w:val="es-MX"/>
              </w:rPr>
              <w:t>3,118.1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026278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El saldo total de la deuda del SPNF con pensiones asciende a $2</w:t>
            </w:r>
            <w:r w:rsidR="0059511C" w:rsidRPr="00D62284">
              <w:rPr>
                <w:rFonts w:ascii="Museo Sans 300" w:hAnsi="Museo Sans 300"/>
                <w:sz w:val="22"/>
                <w:szCs w:val="22"/>
                <w:lang w:val="es-MX"/>
              </w:rPr>
              <w:t>4,235.4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que equivalen al </w:t>
            </w:r>
            <w:r w:rsidR="003C4732" w:rsidRPr="00D62284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59511C" w:rsidRPr="00D62284">
              <w:rPr>
                <w:rFonts w:ascii="Museo Sans 300" w:hAnsi="Museo Sans 300"/>
                <w:sz w:val="22"/>
                <w:szCs w:val="22"/>
                <w:lang w:val="es-MX"/>
              </w:rPr>
              <w:t>6.2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 del PIB, lo que representa un</w:t>
            </w:r>
            <w:r w:rsidR="006F15C6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disminución 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63163B" w:rsidRPr="00D62284">
              <w:rPr>
                <w:rFonts w:ascii="Museo Sans 300" w:hAnsi="Museo Sans 300"/>
                <w:sz w:val="22"/>
                <w:szCs w:val="22"/>
                <w:lang w:val="es-MX"/>
              </w:rPr>
              <w:t>4.</w:t>
            </w:r>
            <w:r w:rsidR="0059511C" w:rsidRPr="00D62284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 con respecto al</w:t>
            </w:r>
            <w:r w:rsidR="007A4ECC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indicador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registrado en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</w:t>
            </w:r>
            <w:r w:rsidR="00581B7E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2D61C578" w14:textId="77777777" w:rsidR="00A75C50" w:rsidRPr="00D62284" w:rsidRDefault="00A75C50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AE146E4" w14:textId="77777777" w:rsidR="006B1211" w:rsidRPr="00D62284" w:rsidRDefault="006B1211" w:rsidP="000D7396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8" w:name="_Toc116389130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II. Entorno Macroeconómico</w:t>
            </w:r>
            <w:bookmarkEnd w:id="8"/>
          </w:p>
          <w:p w14:paraId="4F695871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772C90F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9980E68" w14:textId="77777777" w:rsidR="00A51D87" w:rsidRPr="00D62284" w:rsidRDefault="001D0083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3E28F3" w:rsidRPr="00D62284">
              <w:rPr>
                <w:rFonts w:ascii="Museo Sans 300" w:hAnsi="Museo Sans 300"/>
                <w:sz w:val="22"/>
                <w:szCs w:val="22"/>
                <w:lang w:val="es-MX"/>
              </w:rPr>
              <w:t>continuación,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presentan l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os resultados de economía nacional 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</w:t>
            </w:r>
            <w:r w:rsidR="0064579A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basado de estadísticas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>sobre</w:t>
            </w:r>
            <w:r w:rsidR="005924A9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principales variables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macroeconómicas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publicadas por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el BCR.</w:t>
            </w:r>
          </w:p>
          <w:p w14:paraId="496D69F9" w14:textId="77777777" w:rsidR="00A51D87" w:rsidRPr="00D62284" w:rsidRDefault="00A51D87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5874629" w14:textId="77777777" w:rsidR="00CE25E7" w:rsidRPr="00D62284" w:rsidRDefault="00D05686" w:rsidP="00C61DED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61D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estima que la economía creció 2.8 por ciento en 2022, impulsada por la demanda interna. La recuperación  de la actividad con respecto a los niveles previos a la pandemia fue </w:t>
            </w:r>
            <w:r w:rsidR="002C3887" w:rsidRPr="00AE22C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asociada </w:t>
            </w:r>
            <w:r w:rsidR="00C61DED" w:rsidRPr="00C61D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por una combinación de factores que dinamizaron la producción nacional y amortiguaron el impacto de las condiciones internacionales adversas, entre ellos:</w:t>
            </w:r>
            <w:r w:rsidRPr="00C61D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C61DED" w:rsidRPr="00C61D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esfuerzos realizados por el Gobierno en temas de seguridad ciudadana que aumentaron la confianza de las empresas y los hogares, favoreciendo la inversión y el consumo respectivamente; la estrategia de posicionamiento del país como un referente internacional del turismo, entre otras. </w:t>
            </w:r>
          </w:p>
          <w:p w14:paraId="319B380F" w14:textId="77777777" w:rsidR="00C61DED" w:rsidRPr="00C61DED" w:rsidRDefault="00C61DED" w:rsidP="00C65626">
            <w:pPr>
              <w:spacing w:after="200"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14:paraId="2AC274E3" w14:textId="77777777" w:rsidR="00C65626" w:rsidRPr="00D62284" w:rsidRDefault="00C65626" w:rsidP="00C65626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El IVAE (nueva serie desestacionalizada) registró en noviembre de 2022 una variación anual de 4.9% (4.7% en noviembre de 2021).</w:t>
            </w:r>
            <w:r w:rsidR="003D79B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ramas con mayor rendimiento destacan: Construcción, 21.8%; Actividades Profesionales, Científicas, Técnicas, Administrativas, de Apoyo y Otros Servicios, 8.9%; Información y Comunicaciones, 7.2%; Comercio, Transporte y Almacenamiento, Actividades de Alojamiento y de Servicio de Comidas, 7.5</w:t>
            </w:r>
            <w:r w:rsidR="00723555" w:rsidRPr="00D62284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14:paraId="010AEF5A" w14:textId="77777777" w:rsidR="00975E70" w:rsidRDefault="00975E70" w:rsidP="00B208E7">
            <w:pPr>
              <w:spacing w:line="276" w:lineRule="auto"/>
              <w:ind w:hanging="32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lastRenderedPageBreak/>
              <w:t>La inflación anual fue de 7.3%, de</w:t>
            </w:r>
            <w:r w:rsidR="00686D17">
              <w:rPr>
                <w:rFonts w:ascii="Museo Sans 300" w:hAnsi="Museo Sans 300" w:cs="Arial"/>
                <w:sz w:val="22"/>
                <w:szCs w:val="22"/>
              </w:rPr>
              <w:t xml:space="preserve">rivado del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aumento en la mayoría de las divisiones, siendo las principales las siguientes: en la División de Alimentos y bebidas no alcohólicas (12.24%); Bienes y servicios diversos (9.87%); Muebles, artículos para el hogar (8.32%); Restaurantes y hoteles (8.13%); y Recreación y cultura (8.02%). La división de transporte reportó un incremento de 5.14%; dicha variación es menor a las reportadas en períodos anteriores (9.61% a febrero 2022 y 7.78% a marzo 2022)</w:t>
            </w:r>
            <w:r w:rsidR="00681726">
              <w:rPr>
                <w:rFonts w:ascii="Museo Sans 300" w:hAnsi="Museo Sans 300" w:cs="Arial"/>
                <w:sz w:val="22"/>
                <w:szCs w:val="22"/>
              </w:rPr>
              <w:t xml:space="preserve">. Cabe mencionar </w:t>
            </w:r>
            <w:r w:rsidR="0085051F">
              <w:rPr>
                <w:rFonts w:ascii="Museo Sans 300" w:hAnsi="Museo Sans 300" w:cs="Arial"/>
                <w:sz w:val="22"/>
                <w:szCs w:val="22"/>
              </w:rPr>
              <w:t>que,</w:t>
            </w:r>
            <w:r w:rsidR="00681726">
              <w:rPr>
                <w:rFonts w:ascii="Museo Sans 300" w:hAnsi="Museo Sans 300" w:cs="Arial"/>
                <w:sz w:val="22"/>
                <w:szCs w:val="22"/>
              </w:rPr>
              <w:t xml:space="preserve"> a pesar de incrementos en los precios, El Salvador registró la inflación más baja de Centroamérica;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debido a las medidas implementadas por el gobierno ante el aumento de la inflación</w:t>
            </w:r>
            <w:r w:rsidR="00686D17">
              <w:rPr>
                <w:rFonts w:ascii="Museo Sans 300" w:hAnsi="Museo Sans 300" w:cs="Arial"/>
                <w:sz w:val="22"/>
                <w:szCs w:val="22"/>
              </w:rPr>
              <w:t>. Entre los fact</w:t>
            </w:r>
            <w:r w:rsidR="009839B1">
              <w:rPr>
                <w:rFonts w:ascii="Museo Sans 300" w:hAnsi="Museo Sans 300" w:cs="Arial"/>
                <w:sz w:val="22"/>
                <w:szCs w:val="22"/>
              </w:rPr>
              <w:t>o</w:t>
            </w:r>
            <w:r w:rsidR="00686D17">
              <w:rPr>
                <w:rFonts w:ascii="Museo Sans 300" w:hAnsi="Museo Sans 300" w:cs="Arial"/>
                <w:sz w:val="22"/>
                <w:szCs w:val="22"/>
              </w:rPr>
              <w:t>res externos predominó los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mayores niveles de precios internacionales de los combustibles.</w:t>
            </w:r>
          </w:p>
          <w:p w14:paraId="1B8CFCBB" w14:textId="77777777" w:rsidR="00C61DED" w:rsidRPr="00C61DED" w:rsidRDefault="00C61DED" w:rsidP="00B208E7">
            <w:pPr>
              <w:spacing w:line="276" w:lineRule="auto"/>
              <w:ind w:hanging="32"/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14:paraId="0AC84BC8" w14:textId="77777777" w:rsidR="00C65626" w:rsidRPr="00D62284" w:rsidRDefault="00C65626" w:rsidP="00C65626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 evolución del empleo formal al mes de noviembre de 2022 alcanzó un total de 970,242 trabajadores, registrándose una variación anual de 55,146 empleos (6.0%), compuesto por incrementos de 46,578 en sector privado y de 6,853 en el sector público. La crisis por la Pandemia del COVID-19 caus</w:t>
            </w:r>
            <w:r w:rsidR="0024477B">
              <w:rPr>
                <w:rFonts w:ascii="Museo Sans 300" w:hAnsi="Museo Sans 300" w:cs="Arial"/>
                <w:sz w:val="22"/>
                <w:szCs w:val="22"/>
              </w:rPr>
              <w:t>ó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una pérdida alrededor de 65,000 empleos entre los periodos de diciembre 2019 a junio 2020, pero del periodo indicado (junio 2020) al mes de noviembre del 2022, se han recuperado un total de 160,354 empleos, de los cuales 141,490 pertenecen al sector privado.</w:t>
            </w:r>
          </w:p>
          <w:p w14:paraId="410FFF53" w14:textId="77777777" w:rsidR="00975E70" w:rsidRPr="00D62284" w:rsidRDefault="00975E70" w:rsidP="00F72739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bookmarkStart w:id="9" w:name="_Hlk128467779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Las exportaciones </w:t>
            </w:r>
            <w:r w:rsidR="009839B1">
              <w:rPr>
                <w:rFonts w:ascii="Museo Sans 300" w:hAnsi="Museo Sans 300" w:cs="Arial"/>
                <w:sz w:val="22"/>
                <w:szCs w:val="22"/>
              </w:rPr>
              <w:t xml:space="preserve">de bienes mostraron un desempeño positivo al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registrar un total de $7,115.1 millones con una variación anual de 11.3% equivalentes a $720.2 millones, se reportan incrementos en las industrias manufactureras por $474.8 millones</w:t>
            </w:r>
            <w:r w:rsidR="009839B1">
              <w:rPr>
                <w:rFonts w:ascii="Museo Sans 300" w:hAnsi="Museo Sans 300" w:cs="Arial"/>
                <w:sz w:val="22"/>
                <w:szCs w:val="22"/>
              </w:rPr>
              <w:t>, contribuyó con el 76.4% del total exportado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; en la maquila por $149.2 millones</w:t>
            </w:r>
            <w:r w:rsidR="009839B1">
              <w:rPr>
                <w:rFonts w:ascii="Museo Sans 300" w:hAnsi="Museo Sans 300" w:cs="Arial"/>
                <w:sz w:val="22"/>
                <w:szCs w:val="22"/>
              </w:rPr>
              <w:t xml:space="preserve"> destacándose las de textil y confección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; en agricultura, ganadería silvicultura y pesca por $60.2 millones; y en suministro de electricidad, gas, vapor y aire acondicionado por $37.9 millones</w:t>
            </w:r>
            <w:r w:rsidR="00F72739"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bookmarkEnd w:id="9"/>
          <w:p w14:paraId="1DC2F62C" w14:textId="77777777" w:rsidR="00975E70" w:rsidRPr="00D62284" w:rsidRDefault="00975E70" w:rsidP="00F72739">
            <w:pPr>
              <w:spacing w:after="200" w:line="276" w:lineRule="auto"/>
              <w:ind w:left="-32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Las importaciones ascendieron a $17,108.0 millones, aumentando en 17.0% ($2,490.6 millones)</w:t>
            </w:r>
            <w:r w:rsidR="002C3887">
              <w:rPr>
                <w:rFonts w:ascii="Museo Sans 300" w:hAnsi="Museo Sans 300" w:cs="Arial"/>
                <w:sz w:val="22"/>
                <w:szCs w:val="22"/>
              </w:rPr>
              <w:t>;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según su clasificación económica, se registró por rubros el comportamiento siguiente: las importaciones de bienes de consumo incrementaron 16.1% ($883.6 millones); los bienes intermedios incrementaron en 25.2% ($1,435.3 millones); los bienes de capital reflejaron un aumento de 1.2% ($33.5 millones); y la maquila registr</w:t>
            </w:r>
            <w:r w:rsidR="0024477B">
              <w:rPr>
                <w:rFonts w:ascii="Museo Sans 300" w:hAnsi="Museo Sans 300" w:cs="Arial"/>
                <w:sz w:val="22"/>
                <w:szCs w:val="22"/>
              </w:rPr>
              <w:t>ó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un aumento de 19.6% ($138.3 millones). </w:t>
            </w:r>
          </w:p>
          <w:p w14:paraId="5B6ABE10" w14:textId="77777777" w:rsidR="00F72739" w:rsidRPr="00D62284" w:rsidRDefault="00F72739" w:rsidP="00F72739">
            <w:pPr>
              <w:spacing w:after="200" w:line="276" w:lineRule="auto"/>
              <w:ind w:left="-32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Las Remesas familiares acumularon un monto de $7,741.9 millones, con un incremento anual de $237.2 millones equivalentes a 3.2%</w:t>
            </w:r>
            <w:r w:rsidR="002A36DA">
              <w:rPr>
                <w:rFonts w:ascii="Museo Sans 300" w:hAnsi="Museo Sans 300" w:cs="Arial"/>
                <w:sz w:val="22"/>
                <w:szCs w:val="22"/>
              </w:rPr>
              <w:t xml:space="preserve"> y representan el 24.3% del PIB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. </w:t>
            </w:r>
          </w:p>
          <w:p w14:paraId="290A61FA" w14:textId="77777777" w:rsidR="00F72739" w:rsidRPr="00D62284" w:rsidRDefault="00F72739" w:rsidP="00F72739">
            <w:pPr>
              <w:spacing w:after="200" w:line="276" w:lineRule="auto"/>
              <w:ind w:left="-32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bookmarkStart w:id="10" w:name="_Hlk128472035"/>
            <w:bookmarkStart w:id="11" w:name="_Hlk60986249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 factura petrolera alcanzó un total de $2,673.0 millones (reportándose un crecimiento inter anual de $867.0 millones equivalente a 48.0%), y el monto total de la factura representa el 15.6% del total de las importaciones; por su parte el volumen registró 2,828.8 millones de Kilogramos resultando un incremento del 3.9% equivalentes a 105.6 millones de kilogramos. </w:t>
            </w:r>
          </w:p>
          <w:p w14:paraId="0E5D7875" w14:textId="77777777" w:rsidR="00F72739" w:rsidRPr="00D62284" w:rsidRDefault="00F72739" w:rsidP="00F72739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bookmarkStart w:id="12" w:name="_Hlk128472062"/>
            <w:bookmarkEnd w:id="10"/>
            <w:r w:rsidRPr="00D62284">
              <w:rPr>
                <w:rFonts w:ascii="Museo Sans 300" w:hAnsi="Museo Sans 300" w:cs="Arial"/>
                <w:sz w:val="22"/>
                <w:szCs w:val="22"/>
              </w:rPr>
              <w:t>En el sector financiero (al mes de diciembre) se reportó una tasa de interés activa de 7.03% mayor que la del año anterior en 107 puntos base. Por su parte, tasa básica pasiva se ubicó en 4.91% mayor que la del año anterior en 45 puntos base.</w:t>
            </w:r>
          </w:p>
          <w:p w14:paraId="32E2E2AB" w14:textId="77777777" w:rsidR="003D79BB" w:rsidRPr="00D62284" w:rsidRDefault="003D79BB" w:rsidP="003D79BB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lastRenderedPageBreak/>
              <w:t>El saldo de la cartera préstamo (Bancos, Bancos Cooperativos y Sociedades de Ahorro y Crédito) por sector económico al 31 de diciembre de 2022 fue de $17,572.9 millones, registrando un crecimiento anual de 10.9% ($1,725.2 millones). Los sectores que reportaron mayores saldos fueron: consumo; adquisición de vivienda; comercio; industria; y servicios, los cuales acumularon un 81.2% del saldo total.</w:t>
            </w:r>
          </w:p>
          <w:bookmarkEnd w:id="11"/>
          <w:bookmarkEnd w:id="12"/>
          <w:p w14:paraId="451E7C82" w14:textId="77777777" w:rsidR="0019773D" w:rsidRPr="00D62284" w:rsidRDefault="0019773D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D9B5E85" w14:textId="77777777" w:rsidR="003D79BB" w:rsidRPr="00D62284" w:rsidRDefault="003D79BB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C85DF40" w14:textId="77777777" w:rsidR="00D540FA" w:rsidRPr="00D62284" w:rsidRDefault="006B1211" w:rsidP="003D15B7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3" w:name="_Toc116389131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GESTION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LAS FINANZAS PÚBLICAS</w:t>
            </w:r>
            <w:bookmarkEnd w:id="1"/>
            <w:bookmarkEnd w:id="2"/>
            <w:bookmarkEnd w:id="3"/>
            <w:bookmarkEnd w:id="13"/>
          </w:p>
          <w:p w14:paraId="06D23FF1" w14:textId="77777777" w:rsidR="0034685B" w:rsidRPr="00D62284" w:rsidRDefault="0034685B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4" w:name="_Toc411843460"/>
          </w:p>
          <w:p w14:paraId="4AEBC20A" w14:textId="77777777" w:rsidR="00D540FA" w:rsidRPr="00D62284" w:rsidRDefault="009B117C" w:rsidP="00377659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5" w:name="_Toc505951454"/>
            <w:bookmarkStart w:id="16" w:name="_Toc56581204"/>
            <w:bookmarkStart w:id="17" w:name="_Toc116389132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1. 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>Ingresos Totales</w:t>
            </w:r>
            <w:bookmarkEnd w:id="14"/>
            <w:bookmarkEnd w:id="15"/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del SPNF</w:t>
            </w:r>
            <w:r w:rsidR="00912173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(ver anexo 3)</w:t>
            </w:r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bookmarkEnd w:id="16"/>
            <w:bookmarkEnd w:id="17"/>
          </w:p>
          <w:p w14:paraId="517FCA08" w14:textId="77777777" w:rsidR="00D540FA" w:rsidRPr="00D62284" w:rsidRDefault="00D540F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E766AED" w14:textId="77777777" w:rsidR="009E5691" w:rsidRPr="00D62284" w:rsidRDefault="009E5691" w:rsidP="00A35B2E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8" w:name="_Hlk128488275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 ascendieron a $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7,911.9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1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2.1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%, equivalente a $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852.4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respecto 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2021, debido principalmente al aumento en los Ingresos Tributarios por $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737.9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C82A86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Como porcentaje del PIB, los ingresos totales representaron 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24.9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%, resultado superior en </w:t>
            </w:r>
            <w:r w:rsidR="00CF72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0.</w:t>
            </w:r>
            <w:r w:rsidR="0070193A" w:rsidRPr="00D62284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porcentuales al obtenido en 2021.</w:t>
            </w:r>
          </w:p>
          <w:bookmarkEnd w:id="18"/>
          <w:p w14:paraId="0FF0CDA8" w14:textId="77777777" w:rsidR="009E5691" w:rsidRPr="00D62284" w:rsidRDefault="009E5691" w:rsidP="009E5691">
            <w:pPr>
              <w:pStyle w:val="Default"/>
              <w:jc w:val="both"/>
              <w:rPr>
                <w:rFonts w:ascii="Museo Sans 300" w:hAnsi="Museo Sans 300" w:cs="Times New Roman"/>
                <w:color w:val="auto"/>
                <w:sz w:val="22"/>
                <w:szCs w:val="22"/>
                <w:lang w:val="es-MX" w:eastAsia="es-ES"/>
              </w:rPr>
            </w:pPr>
          </w:p>
          <w:p w14:paraId="240E6B6B" w14:textId="77777777" w:rsidR="009E5691" w:rsidRPr="00D62284" w:rsidRDefault="009E569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ES"/>
              </w:rPr>
            </w:pPr>
          </w:p>
          <w:p w14:paraId="583BA2FD" w14:textId="77777777" w:rsidR="00D540FA" w:rsidRPr="00565D46" w:rsidRDefault="00D540FA" w:rsidP="003D15B7">
            <w:pPr>
              <w:jc w:val="center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1: Evolución de los Ingresos Totales del SPNF </w:t>
            </w:r>
            <w:r w:rsidR="00F0551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712719" w:rsidRPr="00D62284">
              <w:rPr>
                <w:rFonts w:ascii="Museo Sans 300" w:hAnsi="Museo Sans 300"/>
                <w:sz w:val="22"/>
                <w:szCs w:val="22"/>
                <w:lang w:val="es-MX"/>
              </w:rPr>
              <w:t>diciembre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</w:t>
            </w:r>
            <w:r w:rsidR="00F616D4" w:rsidRPr="00D62284">
              <w:rPr>
                <w:rFonts w:ascii="Museo Sans 300" w:hAnsi="Museo Sans 300"/>
                <w:sz w:val="22"/>
                <w:szCs w:val="22"/>
                <w:lang w:val="es-MX"/>
              </w:rPr>
              <w:t>14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</w:t>
            </w:r>
            <w:r w:rsidR="00F616D4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411F3D" w:rsidRPr="00D62284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4C2AB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02E8A9D1" w14:textId="77777777" w:rsidR="00BF745F" w:rsidRPr="00D62284" w:rsidRDefault="00BF745F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2C76B9A" w14:textId="77777777" w:rsidR="00152F95" w:rsidRPr="00D62284" w:rsidRDefault="00911E0C" w:rsidP="0000234B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911E0C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76672EC3" wp14:editId="6F79F46F">
                  <wp:extent cx="4906752" cy="3119552"/>
                  <wp:effectExtent l="0" t="0" r="8255" b="508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342" cy="312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7C106" w14:textId="77777777" w:rsidR="00D77A29" w:rsidRPr="0075008C" w:rsidRDefault="00724FE8" w:rsidP="00D77A29">
            <w:pPr>
              <w:pStyle w:val="Ttulo3"/>
              <w:rPr>
                <w:rFonts w:ascii="Museo Sans 300" w:hAnsi="Museo Sans 300"/>
                <w:sz w:val="18"/>
                <w:szCs w:val="18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                   </w:t>
            </w:r>
            <w:r w:rsidR="00ED3D89" w:rsidRPr="0075008C">
              <w:rPr>
                <w:rFonts w:ascii="Museo Sans 300" w:hAnsi="Museo Sans 300"/>
                <w:sz w:val="18"/>
                <w:szCs w:val="18"/>
                <w:lang w:val="es-MX"/>
              </w:rPr>
              <w:t>Fuente: Ministerio de Hacienda</w:t>
            </w:r>
            <w:bookmarkStart w:id="19" w:name="_Toc411843461"/>
            <w:bookmarkStart w:id="20" w:name="_Toc56581205"/>
            <w:bookmarkStart w:id="21" w:name="_Toc116389133"/>
          </w:p>
          <w:p w14:paraId="3834D800" w14:textId="77777777" w:rsidR="00D77A29" w:rsidRDefault="00D77A29" w:rsidP="00D77A29">
            <w:pPr>
              <w:pStyle w:val="Ttulo3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14:paraId="5E4F4327" w14:textId="77777777" w:rsidR="00D77A29" w:rsidRPr="00D62284" w:rsidRDefault="00D77A29" w:rsidP="00D77A29">
            <w:pPr>
              <w:pStyle w:val="Ttulo3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1.1 Ingresos Tributarios</w:t>
            </w:r>
            <w:bookmarkEnd w:id="19"/>
            <w:bookmarkEnd w:id="20"/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y Contribuciones Especiales</w:t>
            </w:r>
            <w:bookmarkEnd w:id="21"/>
          </w:p>
          <w:p w14:paraId="21D01021" w14:textId="77777777" w:rsidR="00D77A29" w:rsidRPr="00D62284" w:rsidRDefault="00D77A29" w:rsidP="00D77A29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607771D" w14:textId="77777777" w:rsidR="00D77A29" w:rsidRPr="00D62284" w:rsidRDefault="00D77A29" w:rsidP="00565D46">
            <w:pPr>
              <w:ind w:left="-30" w:hanging="4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bookmarkStart w:id="22" w:name="_Hlk128488333"/>
            <w:r w:rsidRPr="00D62284">
              <w:rPr>
                <w:rFonts w:ascii="Museo Sans 300" w:hAnsi="Museo Sans 300" w:cs="Arial"/>
                <w:sz w:val="22"/>
                <w:szCs w:val="22"/>
              </w:rPr>
              <w:t>La recaudación tributaria alcanzó un monto de $6,571.5 millones, (ver gráfico 2) incrementándose en $737.9 millones</w:t>
            </w:r>
            <w:r w:rsidRPr="00B32DE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con respecto a 2021, producto del dinamismo 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 xml:space="preserve">en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la 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 xml:space="preserve">mayoría de ramas de la </w:t>
            </w:r>
            <w:r>
              <w:rPr>
                <w:rFonts w:ascii="Museo Sans 300" w:hAnsi="Museo Sans 300" w:cs="Arial"/>
                <w:sz w:val="22"/>
                <w:szCs w:val="22"/>
              </w:rPr>
              <w:t>actividad económica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 xml:space="preserve"> lo que </w:t>
            </w:r>
            <w:r w:rsidR="0024477B">
              <w:rPr>
                <w:rFonts w:ascii="Museo Sans 300" w:hAnsi="Museo Sans 300" w:cs="Arial"/>
                <w:sz w:val="22"/>
                <w:szCs w:val="22"/>
              </w:rPr>
              <w:t xml:space="preserve">sostiene 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 xml:space="preserve">las proyecciones de crecimiento económico de 2.8%. Además, </w:t>
            </w:r>
            <w:r w:rsidR="002C3887" w:rsidRPr="00AE22C4">
              <w:rPr>
                <w:rFonts w:ascii="Museo Sans 300" w:hAnsi="Museo Sans 300" w:cs="Arial"/>
                <w:sz w:val="22"/>
                <w:szCs w:val="22"/>
              </w:rPr>
              <w:t xml:space="preserve">las diferentes medidas impulsadas por el Ministerio de Hacienda 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>contribuyeron al crecimiento de la recaudación</w:t>
            </w:r>
            <w:r w:rsidR="002C3887">
              <w:rPr>
                <w:rFonts w:ascii="Museo Sans 300" w:hAnsi="Museo Sans 300" w:cs="Arial"/>
                <w:sz w:val="22"/>
                <w:szCs w:val="22"/>
              </w:rPr>
              <w:t>:</w:t>
            </w:r>
            <w:r w:rsidR="00AA73D3">
              <w:rPr>
                <w:rFonts w:ascii="Museo Sans 300" w:hAnsi="Museo Sans 300" w:cs="Arial"/>
                <w:sz w:val="22"/>
                <w:szCs w:val="22"/>
              </w:rPr>
              <w:t xml:space="preserve"> la</w:t>
            </w:r>
            <w:r w:rsidR="00827507" w:rsidRPr="00BF66F8">
              <w:rPr>
                <w:rFonts w:ascii="Museo Sans 300" w:hAnsi="Museo Sans 300" w:cs="Arial"/>
                <w:i/>
                <w:sz w:val="22"/>
                <w:szCs w:val="22"/>
              </w:rPr>
              <w:t xml:space="preserve">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eficacia en la implementación de medidas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lastRenderedPageBreak/>
              <w:t>administrativas</w:t>
            </w:r>
            <w:r w:rsidR="002266D7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EF4560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el Plan Anti evasión, Plan anti contrabando</w:t>
            </w:r>
            <w:r w:rsidR="002266D7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Amnistía tributaria, entre otras.  En este sentido, la carga tributaria fue equivalente a 20.7% con relación al PIB, siendo superior a la registrada a diciembre de 2021 en 0.4 punto porcentual.</w:t>
            </w:r>
          </w:p>
          <w:p w14:paraId="2771650F" w14:textId="77777777" w:rsidR="00D36C9A" w:rsidRDefault="00D36C9A" w:rsidP="00085CF5">
            <w:pPr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p w14:paraId="443EBBE7" w14:textId="77777777" w:rsidR="00573EF8" w:rsidRPr="00D62284" w:rsidRDefault="00573EF8" w:rsidP="00573EF8">
            <w:pPr>
              <w:tabs>
                <w:tab w:val="left" w:pos="0"/>
              </w:tabs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Este resultado obedece al comportamiento que han tenido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casi todos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sus componentes, muestran incrementos, destacando los impuestos de IVA y Renta que en conjunto adicionaron $790.6 millones, y la suma del total recaudado por ambos impuestos equivale al 88.4% del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total de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ingreso tributario lo que confirma la efectividad de las medidas tributarias y administrativas implementadas desde el año 2019. </w:t>
            </w:r>
          </w:p>
          <w:bookmarkEnd w:id="22"/>
          <w:p w14:paraId="35BB6363" w14:textId="77777777" w:rsidR="00573EF8" w:rsidRDefault="00573EF8" w:rsidP="00085CF5">
            <w:pPr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p w14:paraId="70E097F7" w14:textId="77777777" w:rsidR="00573EF8" w:rsidRDefault="00573EF8" w:rsidP="00573EF8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5008C">
              <w:rPr>
                <w:rFonts w:ascii="Museo Sans 300" w:hAnsi="Museo Sans 300" w:cs="Arial"/>
                <w:sz w:val="22"/>
                <w:szCs w:val="22"/>
              </w:rPr>
              <w:t>De forma detallada, el Impuesto al Valor Agregado registró un flujo de $3,024.6 millones, lo que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representa un incremento de 8.4% con respecto a 2021, resultado de variaciones positivas en sus componentes de la siguiente forma: IVA declaración de 9.4% y en IVA importación 7.6%. </w:t>
            </w:r>
            <w:r>
              <w:rPr>
                <w:rFonts w:ascii="Museo Sans 300" w:hAnsi="Museo Sans 300" w:cs="Arial"/>
                <w:sz w:val="22"/>
                <w:szCs w:val="22"/>
              </w:rPr>
              <w:t>Dicho crecimiento se debe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en parte, al incremento de la factura petrolera, que representa un 15.6% del total de las importaciones. Dentro de la composición de los Ingresos Tributarios, el IVA representó el 46.0%.</w:t>
            </w:r>
          </w:p>
          <w:p w14:paraId="7332D81D" w14:textId="77777777" w:rsidR="00AA73D3" w:rsidRPr="00D62284" w:rsidRDefault="00AA73D3" w:rsidP="00573EF8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0099B445" w14:textId="77777777" w:rsidR="00573EF8" w:rsidRPr="00D62284" w:rsidRDefault="00573EF8" w:rsidP="00573EF8">
            <w:pPr>
              <w:jc w:val="both"/>
              <w:rPr>
                <w:rFonts w:ascii="Museo Sans 300" w:hAnsi="Museo Sans 300" w:cs="Arial"/>
                <w:i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El Impuesto sobre la Renta alcanzó un valor recaudado de $2,782.3 millones, observándose un incremento con respecto al año anterior de 25.0%, producto de incrementos en todos sus componentes, de la forma siguiente: declaraciones 53.9%, pago a cuenta 13.5% y retenciones 16.4%, en el rubro de Renta Declaración el incremento corresponde en parte a la recaudación por las Amnistías Fiscales </w:t>
            </w:r>
            <w:r w:rsidR="0075008C">
              <w:rPr>
                <w:rFonts w:ascii="Museo Sans 300" w:hAnsi="Museo Sans 300" w:cs="Arial"/>
                <w:sz w:val="22"/>
                <w:szCs w:val="22"/>
              </w:rPr>
              <w:t xml:space="preserve">y los planes de fiscalización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que se </w:t>
            </w:r>
            <w:r w:rsidR="0075008C">
              <w:rPr>
                <w:rFonts w:ascii="Museo Sans 300" w:hAnsi="Museo Sans 300" w:cs="Arial"/>
                <w:sz w:val="22"/>
                <w:szCs w:val="22"/>
              </w:rPr>
              <w:t xml:space="preserve">están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implementado. Dicho Impuesto representó un 42.3% del total de Ingresos Tributarios</w:t>
            </w:r>
            <w:r w:rsidRPr="00D62284">
              <w:rPr>
                <w:rFonts w:ascii="Museo Sans 300" w:hAnsi="Museo Sans 300" w:cs="Arial"/>
                <w:i/>
                <w:sz w:val="22"/>
                <w:szCs w:val="22"/>
              </w:rPr>
              <w:t xml:space="preserve">. </w:t>
            </w:r>
          </w:p>
          <w:p w14:paraId="23A5658E" w14:textId="77777777" w:rsidR="00573EF8" w:rsidRPr="00D62284" w:rsidRDefault="00573EF8" w:rsidP="00573EF8">
            <w:pPr>
              <w:jc w:val="both"/>
              <w:rPr>
                <w:rFonts w:ascii="Museo Sans 300" w:hAnsi="Museo Sans 300" w:cs="Arial"/>
                <w:i/>
                <w:sz w:val="22"/>
                <w:szCs w:val="22"/>
              </w:rPr>
            </w:pPr>
          </w:p>
          <w:p w14:paraId="1B35ABB1" w14:textId="77777777" w:rsidR="00573EF8" w:rsidRDefault="00573EF8" w:rsidP="00573EF8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 recaudación </w:t>
            </w:r>
            <w:bookmarkStart w:id="23" w:name="_Hlk48627481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por Derechos Arancelarios a la Importación </w:t>
            </w:r>
            <w:bookmarkEnd w:id="23"/>
            <w:r w:rsidRPr="00D62284">
              <w:rPr>
                <w:rFonts w:ascii="Museo Sans 300" w:hAnsi="Museo Sans 300" w:cs="Arial"/>
                <w:sz w:val="22"/>
                <w:szCs w:val="22"/>
              </w:rPr>
              <w:t>de Bienes registró un total de $318.8 millones, mostrando un incremento de $27.6 millones con respecto a 2021, dicho comportamiento estuvo determinado directamente por el incremento de las importaciones de bienes de 17.0% al mes de diciembre 2022</w:t>
            </w:r>
            <w:r w:rsidRPr="00820180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reportado por el BCR.</w:t>
            </w:r>
          </w:p>
          <w:p w14:paraId="75085FA1" w14:textId="77777777" w:rsidR="00E92133" w:rsidRPr="00D62284" w:rsidRDefault="00E92133" w:rsidP="00573EF8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5D49A021" w14:textId="77777777" w:rsidR="00E92133" w:rsidRDefault="00E92133" w:rsidP="00E9213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Gráfico 2: Ingresos tributarios del SPNF a diciembre 2014 -2022</w:t>
            </w:r>
          </w:p>
          <w:p w14:paraId="6C910527" w14:textId="77777777" w:rsidR="00E92133" w:rsidRPr="00D62284" w:rsidRDefault="00E92133" w:rsidP="00E9213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27F89FA" w14:textId="77777777" w:rsidR="00573EF8" w:rsidRDefault="002266D7" w:rsidP="00E9213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2266D7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34A3416F" wp14:editId="76120395">
                  <wp:extent cx="5065776" cy="3037418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730" cy="304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D095F" w14:textId="77777777" w:rsidR="00EF4560" w:rsidRPr="00D62284" w:rsidRDefault="00EF4560" w:rsidP="00EF4560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lastRenderedPageBreak/>
              <w:t xml:space="preserve">En cuanto a los Impuestos Específicos al Consumo de Productos,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estos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registraron un valor de $225.9 millones, equivalente a un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leve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crecimiento de 0.3%, resultado neto de incrementos y disminuciones en sus componentes, donde destaca el aumento del impuesto a la cerveza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con un crecimiento de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10.0% y la disminución en productos alcohólicos de 16.7%.</w:t>
            </w:r>
          </w:p>
          <w:p w14:paraId="57BD5B46" w14:textId="77777777" w:rsidR="00EF4560" w:rsidRPr="00D62284" w:rsidRDefault="00EF4560" w:rsidP="00EF4560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16637D80" w14:textId="77777777" w:rsidR="00EF4560" w:rsidRPr="00D62284" w:rsidRDefault="00EF4560" w:rsidP="00EF4560">
            <w:pPr>
              <w:jc w:val="both"/>
              <w:rPr>
                <w:rFonts w:ascii="Museo Sans 300" w:hAnsi="Museo Sans 300" w:cs="Arial"/>
                <w:strike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Las Contribuciones Especiales alcanzaron un valor de $148.8 millones, experimentando una reducción de $90.6 millones, con relación al año anterior, básicamente </w:t>
            </w:r>
            <w:bookmarkStart w:id="24" w:name="_Hlk126929374"/>
            <w:r w:rsidRPr="00D62284">
              <w:rPr>
                <w:rFonts w:ascii="Museo Sans 300" w:hAnsi="Museo Sans 300" w:cs="Arial"/>
                <w:sz w:val="22"/>
                <w:szCs w:val="22"/>
              </w:rPr>
              <w:t>por la finalización de la vigencia de la Contribución Especial a Grandes Contribuyentes que estaba orientada a la Seguridad Pública</w:t>
            </w:r>
            <w:bookmarkEnd w:id="24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, y </w:t>
            </w:r>
            <w:bookmarkStart w:id="25" w:name="_Hlk126929497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además por la suspensión temporal </w:t>
            </w:r>
            <w:r w:rsidRPr="0059635B">
              <w:rPr>
                <w:rFonts w:ascii="Museo Sans 300" w:hAnsi="Museo Sans 300" w:cs="Arial"/>
                <w:sz w:val="22"/>
                <w:szCs w:val="22"/>
              </w:rPr>
              <w:t>(durante los meses de abril-septiembre)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de la Contribución Especial del Transporte, como parte de las medidas para contrarrestar el impacto de la inflación</w:t>
            </w:r>
            <w:bookmarkEnd w:id="25"/>
            <w:r w:rsidRPr="00D62284">
              <w:rPr>
                <w:rFonts w:ascii="Museo Sans 300" w:hAnsi="Museo Sans 300" w:cs="Arial"/>
                <w:sz w:val="22"/>
                <w:szCs w:val="22"/>
              </w:rPr>
              <w:t>, al mes de diciembre se recauda</w:t>
            </w:r>
            <w:r>
              <w:rPr>
                <w:rFonts w:ascii="Museo Sans 300" w:hAnsi="Museo Sans 300" w:cs="Arial"/>
                <w:sz w:val="22"/>
                <w:szCs w:val="22"/>
              </w:rPr>
              <w:t>ron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solamente $25.2 millones</w:t>
            </w:r>
            <w:r>
              <w:rPr>
                <w:rFonts w:ascii="Museo Sans 300" w:hAnsi="Museo Sans 300" w:cs="Arial"/>
                <w:sz w:val="22"/>
                <w:szCs w:val="22"/>
              </w:rPr>
              <w:t>.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</w:p>
          <w:p w14:paraId="01D24EA7" w14:textId="77777777" w:rsidR="00EF4560" w:rsidRDefault="00EF4560" w:rsidP="00EF4560">
            <w:pPr>
              <w:jc w:val="center"/>
              <w:rPr>
                <w:rFonts w:ascii="Museo Sans 300" w:hAnsi="Museo Sans 300"/>
                <w:sz w:val="22"/>
                <w:szCs w:val="22"/>
              </w:rPr>
            </w:pPr>
          </w:p>
          <w:p w14:paraId="7C200427" w14:textId="77777777" w:rsidR="00911E0C" w:rsidRPr="00D62284" w:rsidRDefault="00911E0C" w:rsidP="00911E0C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Gráfico 3: Ingresos tributarios del SPNF por fuentes a diciembre 2014 -2022</w:t>
            </w:r>
          </w:p>
          <w:p w14:paraId="734C41CE" w14:textId="77777777" w:rsidR="00911E0C" w:rsidRPr="00911E0C" w:rsidRDefault="00911E0C" w:rsidP="00EF4560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F85737F" w14:textId="77777777" w:rsidR="00911E0C" w:rsidRDefault="00911E0C" w:rsidP="00EF4560">
            <w:pPr>
              <w:jc w:val="center"/>
              <w:rPr>
                <w:rFonts w:ascii="Museo Sans 300" w:hAnsi="Museo Sans 300"/>
                <w:sz w:val="22"/>
                <w:szCs w:val="22"/>
              </w:rPr>
            </w:pPr>
            <w:r w:rsidRPr="00EF4560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2C20572D" wp14:editId="6FBD307D">
                  <wp:extent cx="5063109" cy="2955702"/>
                  <wp:effectExtent l="0" t="0" r="444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157" cy="295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CAC1F" w14:textId="77777777" w:rsidR="00911E0C" w:rsidRPr="00D7202D" w:rsidRDefault="00911E0C" w:rsidP="00911E0C">
            <w:pPr>
              <w:rPr>
                <w:rFonts w:ascii="Museo Sans 300" w:hAnsi="Museo Sans 300"/>
                <w:b/>
                <w:sz w:val="18"/>
                <w:szCs w:val="18"/>
                <w:lang w:val="es-SV"/>
              </w:rPr>
            </w:pPr>
            <w:r>
              <w:rPr>
                <w:rFonts w:ascii="Museo Sans 300" w:hAnsi="Museo Sans 300"/>
                <w:b/>
                <w:sz w:val="18"/>
                <w:szCs w:val="18"/>
                <w:lang w:val="es-SV"/>
              </w:rPr>
              <w:t xml:space="preserve">                   </w:t>
            </w:r>
            <w:r w:rsidRPr="00D7202D">
              <w:rPr>
                <w:rFonts w:ascii="Museo Sans 300" w:hAnsi="Museo Sans 300"/>
                <w:b/>
                <w:sz w:val="18"/>
                <w:szCs w:val="18"/>
                <w:lang w:val="es-SV"/>
              </w:rPr>
              <w:t xml:space="preserve">Fuente: Ministerio de Hacienda </w:t>
            </w:r>
          </w:p>
          <w:p w14:paraId="74540B0F" w14:textId="77777777" w:rsidR="00911E0C" w:rsidRDefault="00911E0C" w:rsidP="00911E0C">
            <w:pPr>
              <w:rPr>
                <w:rFonts w:ascii="Museo Sans 300" w:hAnsi="Museo Sans 300"/>
                <w:sz w:val="22"/>
                <w:szCs w:val="22"/>
              </w:rPr>
            </w:pPr>
          </w:p>
          <w:p w14:paraId="57392A92" w14:textId="77777777" w:rsidR="00911E0C" w:rsidRDefault="00911E0C" w:rsidP="00911E0C">
            <w:pPr>
              <w:rPr>
                <w:rFonts w:ascii="Museo Sans 300" w:hAnsi="Museo Sans 300"/>
                <w:sz w:val="22"/>
                <w:szCs w:val="22"/>
              </w:rPr>
            </w:pPr>
          </w:p>
          <w:p w14:paraId="47230113" w14:textId="77777777" w:rsidR="00911E0C" w:rsidRPr="00D62284" w:rsidRDefault="00911E0C" w:rsidP="00911E0C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En el rubro Otros, compuesto principalmente por transferencias de propiedades y el impuesto especial 1ª. Matricula, la recaudación ascendió a $71.1 millones 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>con un crecimiento de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l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15.6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%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con respecto al resultado obtenido en diciembre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2021.</w:t>
            </w:r>
          </w:p>
          <w:p w14:paraId="24ED0E2B" w14:textId="77777777" w:rsidR="00911E0C" w:rsidRPr="0075008C" w:rsidRDefault="00911E0C" w:rsidP="00911E0C">
            <w:pPr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p w14:paraId="35456069" w14:textId="77777777" w:rsidR="00911E0C" w:rsidRPr="00D62284" w:rsidRDefault="00911E0C" w:rsidP="00911E0C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En la siguiente tabla se muestra el comportamiento de los ingresos tributarios, tanto en millones de dólares, como en porcentaje que representa respecto al total y su composición por rubro para formar la carga tributaria.</w:t>
            </w:r>
          </w:p>
          <w:p w14:paraId="41907F5A" w14:textId="77777777" w:rsidR="00911E0C" w:rsidRPr="00911E0C" w:rsidRDefault="00911E0C" w:rsidP="00911E0C">
            <w:pPr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72660D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C1F011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2392DF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C62E8E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bookmarkStart w:id="26" w:name="_GoBack"/>
        <w:bookmarkEnd w:id="26"/>
      </w:tr>
    </w:tbl>
    <w:p w14:paraId="27D9212A" w14:textId="77777777" w:rsidR="00177F94" w:rsidRPr="00D62284" w:rsidRDefault="00177F94" w:rsidP="00177F94">
      <w:pPr>
        <w:jc w:val="both"/>
        <w:rPr>
          <w:rFonts w:ascii="Museo Sans 300" w:hAnsi="Museo Sans 300" w:cs="Arial"/>
          <w:sz w:val="22"/>
          <w:szCs w:val="22"/>
        </w:rPr>
      </w:pPr>
      <w:bookmarkStart w:id="27" w:name="_Toc308681662"/>
      <w:bookmarkStart w:id="28" w:name="_Toc319049208"/>
      <w:bookmarkStart w:id="29" w:name="_Toc388257453"/>
    </w:p>
    <w:p w14:paraId="4FDA0E77" w14:textId="77777777" w:rsidR="00BF745F" w:rsidRPr="00D62284" w:rsidRDefault="00BF745F" w:rsidP="00CB6C20">
      <w:pPr>
        <w:jc w:val="center"/>
        <w:rPr>
          <w:rFonts w:ascii="Museo Sans 300" w:hAnsi="Museo Sans 300"/>
          <w:sz w:val="22"/>
          <w:szCs w:val="22"/>
        </w:rPr>
      </w:pPr>
    </w:p>
    <w:p w14:paraId="7B69CCA2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24DC6827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3694590A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7428A94D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6F3D28D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62E1547F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79736DD7" w14:textId="77777777" w:rsidR="00EF4560" w:rsidRDefault="00EF456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C49CBE9" w14:textId="77777777" w:rsidR="00BE54F5" w:rsidRPr="00D62284" w:rsidRDefault="00BB3C83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T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abla No. </w:t>
      </w:r>
      <w:r w:rsidR="009A14E6" w:rsidRPr="00D62284">
        <w:rPr>
          <w:rFonts w:ascii="Museo Sans 300" w:hAnsi="Museo Sans 300"/>
          <w:sz w:val="22"/>
          <w:szCs w:val="22"/>
          <w:lang w:val="es-MX"/>
        </w:rPr>
        <w:t>1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 Estructura de Ingresos Tributarios </w:t>
      </w:r>
      <w:r w:rsidR="00532FE5" w:rsidRPr="00D62284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532FE5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20</w:t>
      </w:r>
      <w:r w:rsidR="00A80A13" w:rsidRPr="00D62284">
        <w:rPr>
          <w:rFonts w:ascii="Museo Sans 300" w:hAnsi="Museo Sans 300"/>
          <w:sz w:val="22"/>
          <w:szCs w:val="22"/>
          <w:lang w:val="es-MX"/>
        </w:rPr>
        <w:t>1</w:t>
      </w:r>
      <w:r w:rsidR="00E218E0" w:rsidRPr="00D62284">
        <w:rPr>
          <w:rFonts w:ascii="Museo Sans 300" w:hAnsi="Museo Sans 300"/>
          <w:sz w:val="22"/>
          <w:szCs w:val="22"/>
          <w:lang w:val="es-MX"/>
        </w:rPr>
        <w:t>4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 - 20</w:t>
      </w:r>
      <w:r w:rsidR="00E218E0" w:rsidRPr="00D62284">
        <w:rPr>
          <w:rFonts w:ascii="Museo Sans 300" w:hAnsi="Museo Sans 300"/>
          <w:sz w:val="22"/>
          <w:szCs w:val="22"/>
          <w:lang w:val="es-MX"/>
        </w:rPr>
        <w:t>2</w:t>
      </w:r>
      <w:r w:rsidR="00411F3D" w:rsidRPr="00D62284">
        <w:rPr>
          <w:rFonts w:ascii="Museo Sans 300" w:hAnsi="Museo Sans 300"/>
          <w:sz w:val="22"/>
          <w:szCs w:val="22"/>
          <w:lang w:val="es-MX"/>
        </w:rPr>
        <w:t>2</w:t>
      </w:r>
    </w:p>
    <w:p w14:paraId="16209EC3" w14:textId="77777777" w:rsidR="00BE54F5" w:rsidRPr="00D62284" w:rsidRDefault="00BE54F5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(Millones de $, como % del total de ingresos y % del PIB)</w:t>
      </w:r>
      <w:r w:rsidR="00871062"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7C774EA4" w14:textId="77777777" w:rsidR="00F6695E" w:rsidRPr="00D62284" w:rsidRDefault="00F6695E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0810E570" w14:textId="77777777" w:rsidR="001A49A6" w:rsidRPr="00D62284" w:rsidRDefault="005C2F1D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5C2F1D">
        <w:rPr>
          <w:noProof/>
        </w:rPr>
        <w:drawing>
          <wp:inline distT="0" distB="0" distL="0" distR="0" wp14:anchorId="47FA0EC4" wp14:editId="5F1549A5">
            <wp:extent cx="5971540" cy="450149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50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B6E8" w14:textId="77777777" w:rsidR="00ED3D89" w:rsidRPr="005F689A" w:rsidRDefault="00897D3C" w:rsidP="00ED3D89">
      <w:pPr>
        <w:jc w:val="center"/>
        <w:rPr>
          <w:rFonts w:ascii="Museo Sans 300" w:hAnsi="Museo Sans 300"/>
          <w:b/>
          <w:sz w:val="18"/>
          <w:szCs w:val="18"/>
          <w:lang w:val="es-MX"/>
        </w:rPr>
      </w:pPr>
      <w:r w:rsidRPr="005F689A">
        <w:rPr>
          <w:rFonts w:ascii="Museo Sans 300" w:hAnsi="Museo Sans 300"/>
          <w:b/>
          <w:sz w:val="18"/>
          <w:szCs w:val="18"/>
          <w:lang w:val="es-MX"/>
        </w:rPr>
        <w:t xml:space="preserve">Fuente: </w:t>
      </w:r>
      <w:r w:rsidR="00ED3D89" w:rsidRPr="005F689A">
        <w:rPr>
          <w:rFonts w:ascii="Museo Sans 300" w:hAnsi="Museo Sans 300"/>
          <w:b/>
          <w:sz w:val="18"/>
          <w:szCs w:val="18"/>
          <w:lang w:val="es-MX"/>
        </w:rPr>
        <w:t>Ministerio de Hacienda</w:t>
      </w:r>
      <w:bookmarkStart w:id="30" w:name="_Toc509301814"/>
      <w:bookmarkStart w:id="31" w:name="_Toc308681664"/>
      <w:bookmarkStart w:id="32" w:name="_Toc319049210"/>
      <w:bookmarkStart w:id="33" w:name="_Toc411843462"/>
    </w:p>
    <w:p w14:paraId="7FFBA51D" w14:textId="77777777" w:rsidR="00724FE8" w:rsidRDefault="00724FE8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73FA4AA2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640E27DA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0E1BD1E8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5C50607C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12925F86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14674F6E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5A5EE7D5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05F0AB0D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7CDECEF0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0AB5B664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7822CEB3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6A60A7F4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19183075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5007B2CC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52632216" w14:textId="77777777" w:rsidR="005C2F1D" w:rsidRDefault="005C2F1D" w:rsidP="00ED3D89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401F8800" w14:textId="77777777" w:rsidR="00773139" w:rsidRPr="00D62284" w:rsidRDefault="00773139" w:rsidP="00ED3D89">
      <w:pPr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Recaudación </w:t>
      </w:r>
      <w:r w:rsidR="00C60002" w:rsidRPr="00D62284">
        <w:rPr>
          <w:rFonts w:ascii="Museo Sans 300" w:hAnsi="Museo Sans 300"/>
          <w:b/>
          <w:sz w:val="22"/>
          <w:szCs w:val="22"/>
          <w:lang w:val="es-MX"/>
        </w:rPr>
        <w:t>de ingresos corrientes</w:t>
      </w:r>
      <w:r w:rsidR="00736F88" w:rsidRPr="00D62284">
        <w:rPr>
          <w:rFonts w:ascii="Museo Sans 300" w:hAnsi="Museo Sans 300"/>
          <w:b/>
          <w:sz w:val="22"/>
          <w:szCs w:val="22"/>
          <w:lang w:val="es-MX"/>
        </w:rPr>
        <w:t xml:space="preserve"> del Gobierno Central,</w:t>
      </w:r>
      <w:r w:rsidR="00C60002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 xml:space="preserve">incluyendo </w:t>
      </w:r>
      <w:r w:rsidR="00E43465" w:rsidRPr="00D62284">
        <w:rPr>
          <w:rFonts w:ascii="Museo Sans 300" w:hAnsi="Museo Sans 300"/>
          <w:b/>
          <w:sz w:val="22"/>
          <w:szCs w:val="22"/>
          <w:lang w:val="es-MX"/>
        </w:rPr>
        <w:t>C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 xml:space="preserve">ontribuciones </w:t>
      </w:r>
      <w:r w:rsidR="00926789" w:rsidRPr="00D62284">
        <w:rPr>
          <w:rFonts w:ascii="Museo Sans 300" w:hAnsi="Museo Sans 300"/>
          <w:b/>
          <w:sz w:val="22"/>
          <w:szCs w:val="22"/>
          <w:lang w:val="es-MX"/>
        </w:rPr>
        <w:t>E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>speciales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.</w:t>
      </w:r>
      <w:bookmarkEnd w:id="30"/>
    </w:p>
    <w:p w14:paraId="14B131F5" w14:textId="77777777" w:rsidR="00773139" w:rsidRPr="00D62284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CD64231" w14:textId="77777777" w:rsidR="0003199D" w:rsidRPr="00D62284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De acuerdo con las cifras de la DGT, la recaudación </w:t>
      </w:r>
      <w:r w:rsidR="006D0C79" w:rsidRPr="00D62284">
        <w:rPr>
          <w:rFonts w:ascii="Museo Sans 300" w:hAnsi="Museo Sans 300"/>
          <w:sz w:val="22"/>
          <w:szCs w:val="22"/>
          <w:lang w:val="es-MX"/>
        </w:rPr>
        <w:t xml:space="preserve">de ingresos corrientes </w:t>
      </w:r>
      <w:r w:rsidR="007B2A51" w:rsidRPr="00D62284">
        <w:rPr>
          <w:rFonts w:ascii="Museo Sans 300" w:hAnsi="Museo Sans 300"/>
          <w:sz w:val="22"/>
          <w:szCs w:val="22"/>
          <w:lang w:val="es-MX"/>
        </w:rPr>
        <w:t xml:space="preserve">del Gobierno Central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cuarto</w:t>
      </w:r>
      <w:r w:rsidR="00C722FC" w:rsidRPr="00D62284">
        <w:rPr>
          <w:rFonts w:ascii="Museo Sans 300" w:hAnsi="Museo Sans 300"/>
          <w:sz w:val="22"/>
          <w:szCs w:val="22"/>
          <w:lang w:val="es-MX"/>
        </w:rPr>
        <w:t xml:space="preserve"> trimestre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D551BE" w:rsidRPr="00D62284">
        <w:rPr>
          <w:rFonts w:ascii="Museo Sans 300" w:hAnsi="Museo Sans 300"/>
          <w:sz w:val="22"/>
          <w:szCs w:val="22"/>
          <w:lang w:val="es-MX"/>
        </w:rPr>
        <w:t xml:space="preserve">del </w:t>
      </w:r>
      <w:r w:rsidR="007D5077" w:rsidRPr="00D62284">
        <w:rPr>
          <w:rFonts w:ascii="Museo Sans 300" w:hAnsi="Museo Sans 300"/>
          <w:sz w:val="22"/>
          <w:szCs w:val="22"/>
          <w:lang w:val="es-MX"/>
        </w:rPr>
        <w:t>año</w:t>
      </w:r>
      <w:r w:rsidR="006854A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20</w:t>
      </w:r>
      <w:r w:rsidR="00D551BE" w:rsidRPr="00D62284">
        <w:rPr>
          <w:rFonts w:ascii="Museo Sans 300" w:hAnsi="Museo Sans 300"/>
          <w:sz w:val="22"/>
          <w:szCs w:val="22"/>
          <w:lang w:val="es-MX"/>
        </w:rPr>
        <w:t>2</w:t>
      </w:r>
      <w:r w:rsidR="00E41D5E" w:rsidRPr="00D62284">
        <w:rPr>
          <w:rFonts w:ascii="Museo Sans 300" w:hAnsi="Museo Sans 300"/>
          <w:sz w:val="22"/>
          <w:szCs w:val="22"/>
          <w:lang w:val="es-MX"/>
        </w:rPr>
        <w:t>2</w:t>
      </w:r>
      <w:r w:rsidR="00C82A86" w:rsidRPr="00D62284">
        <w:rPr>
          <w:rFonts w:ascii="Museo Sans 300" w:hAnsi="Museo Sans 300"/>
          <w:sz w:val="22"/>
          <w:szCs w:val="22"/>
          <w:lang w:val="es-MX"/>
        </w:rPr>
        <w:t>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se muestra en la siguiente tabla.</w:t>
      </w:r>
    </w:p>
    <w:p w14:paraId="72B648DC" w14:textId="77777777" w:rsidR="00E41D5E" w:rsidRPr="00D62284" w:rsidRDefault="00E41D5E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61611E3" w14:textId="77777777" w:rsidR="00724FE8" w:rsidRPr="005C2F1D" w:rsidRDefault="00724FE8" w:rsidP="00871062">
      <w:pPr>
        <w:jc w:val="center"/>
        <w:rPr>
          <w:rFonts w:ascii="Museo Sans 300" w:hAnsi="Museo Sans 300" w:cs="Arial"/>
          <w:b/>
          <w:sz w:val="18"/>
          <w:szCs w:val="18"/>
          <w:lang w:val="es-MX"/>
        </w:rPr>
      </w:pPr>
    </w:p>
    <w:p w14:paraId="27B915F2" w14:textId="77777777" w:rsidR="0044457B" w:rsidRPr="005C2F1D" w:rsidRDefault="00871062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  <w:r w:rsidRPr="00D62284">
        <w:rPr>
          <w:rFonts w:ascii="Museo Sans 300" w:hAnsi="Museo Sans 300" w:cs="Arial"/>
          <w:b/>
          <w:sz w:val="22"/>
          <w:szCs w:val="22"/>
          <w:lang w:val="es-MX"/>
        </w:rPr>
        <w:t>Tab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>la</w:t>
      </w:r>
      <w:r w:rsidRPr="00D62284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D62284">
        <w:rPr>
          <w:rFonts w:ascii="Museo Sans 300" w:hAnsi="Museo Sans 300" w:cs="Arial"/>
          <w:b/>
          <w:sz w:val="22"/>
          <w:szCs w:val="22"/>
          <w:lang w:val="es-MX"/>
        </w:rPr>
        <w:t>: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ED3D89" w:rsidRPr="005C2F1D">
        <w:rPr>
          <w:rFonts w:ascii="Museo Sans 300" w:hAnsi="Museo Sans 300" w:cs="Arial"/>
          <w:b/>
          <w:sz w:val="22"/>
          <w:szCs w:val="22"/>
          <w:lang w:val="es-MX"/>
        </w:rPr>
        <w:t>I</w:t>
      </w:r>
      <w:r w:rsidR="00DF7DE2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ngresos corrientes </w:t>
      </w:r>
      <w:r w:rsidR="00613FF3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del Gobierno Central </w:t>
      </w:r>
      <w:r w:rsidR="0044457B" w:rsidRPr="005C2F1D">
        <w:rPr>
          <w:rFonts w:ascii="Museo Sans 300" w:hAnsi="Museo Sans 300" w:cs="Arial"/>
          <w:b/>
          <w:sz w:val="22"/>
          <w:szCs w:val="22"/>
          <w:lang w:val="es-MX"/>
        </w:rPr>
        <w:t>202</w:t>
      </w:r>
      <w:r w:rsidR="00CA7003" w:rsidRPr="005C2F1D">
        <w:rPr>
          <w:rFonts w:ascii="Museo Sans 300" w:hAnsi="Museo Sans 300" w:cs="Arial"/>
          <w:b/>
          <w:sz w:val="22"/>
          <w:szCs w:val="22"/>
          <w:lang w:val="es-MX"/>
        </w:rPr>
        <w:t>1</w:t>
      </w:r>
      <w:r w:rsidR="005C2F1D">
        <w:rPr>
          <w:rFonts w:ascii="Museo Sans 300" w:hAnsi="Museo Sans 300" w:cs="Arial"/>
          <w:b/>
          <w:sz w:val="22"/>
          <w:szCs w:val="22"/>
          <w:lang w:val="es-MX"/>
        </w:rPr>
        <w:t xml:space="preserve"> -</w:t>
      </w:r>
      <w:r w:rsidR="0044457B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581B7E" w:rsidRPr="005C2F1D">
        <w:rPr>
          <w:rFonts w:ascii="Museo Sans 300" w:hAnsi="Museo Sans 300" w:cs="Arial"/>
          <w:b/>
          <w:sz w:val="22"/>
          <w:szCs w:val="22"/>
          <w:lang w:val="es-MX"/>
        </w:rPr>
        <w:t>202</w:t>
      </w:r>
      <w:r w:rsidR="00447D6A" w:rsidRPr="005C2F1D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5C2F1D">
        <w:rPr>
          <w:rFonts w:ascii="Museo Sans 300" w:hAnsi="Museo Sans 300" w:cs="Arial"/>
          <w:b/>
          <w:sz w:val="22"/>
          <w:szCs w:val="22"/>
          <w:lang w:val="es-MX"/>
        </w:rPr>
        <w:t>.</w:t>
      </w:r>
    </w:p>
    <w:p w14:paraId="028BAEA6" w14:textId="77777777" w:rsidR="0044457B" w:rsidRPr="00D62284" w:rsidRDefault="0044457B" w:rsidP="0044457B">
      <w:pPr>
        <w:jc w:val="center"/>
        <w:rPr>
          <w:rFonts w:ascii="Museo Sans 300" w:hAnsi="Museo Sans 300" w:cs="Arial"/>
          <w:b/>
          <w:bCs/>
          <w:sz w:val="22"/>
          <w:szCs w:val="22"/>
          <w:lang w:val="es-SV" w:eastAsia="es-SV"/>
        </w:rPr>
      </w:pPr>
      <w:r w:rsidRPr="005C2F1D">
        <w:rPr>
          <w:rFonts w:ascii="Museo Sans 300" w:hAnsi="Museo Sans 300" w:cs="Arial"/>
          <w:b/>
          <w:bCs/>
          <w:sz w:val="22"/>
          <w:szCs w:val="22"/>
          <w:lang w:val="es-SV" w:eastAsia="es-SV"/>
        </w:rPr>
        <w:t>(Montos en Millones de US$)</w:t>
      </w:r>
    </w:p>
    <w:p w14:paraId="43B7BF97" w14:textId="77777777" w:rsidR="00231F0C" w:rsidRPr="00D62284" w:rsidRDefault="00231F0C" w:rsidP="0044457B">
      <w:pPr>
        <w:jc w:val="center"/>
        <w:rPr>
          <w:rFonts w:ascii="Museo Sans 300" w:hAnsi="Museo Sans 300" w:cs="Arial"/>
          <w:b/>
          <w:bCs/>
          <w:color w:val="FF0000"/>
          <w:sz w:val="22"/>
          <w:szCs w:val="22"/>
          <w:lang w:val="es-SV" w:eastAsia="es-SV"/>
        </w:rPr>
      </w:pPr>
    </w:p>
    <w:p w14:paraId="7B3DE0EA" w14:textId="77777777" w:rsidR="0044457B" w:rsidRPr="00D62284" w:rsidRDefault="005C2F1D" w:rsidP="0000636C">
      <w:pPr>
        <w:jc w:val="center"/>
        <w:rPr>
          <w:rFonts w:ascii="Museo Sans 300" w:hAnsi="Museo Sans 300"/>
          <w:sz w:val="22"/>
          <w:szCs w:val="22"/>
          <w:lang w:val="es-SV"/>
        </w:rPr>
      </w:pPr>
      <w:r w:rsidRPr="005C2F1D">
        <w:rPr>
          <w:noProof/>
        </w:rPr>
        <w:drawing>
          <wp:inline distT="0" distB="0" distL="0" distR="0" wp14:anchorId="4EB733FB" wp14:editId="6551F361">
            <wp:extent cx="5473928" cy="6420119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98" cy="644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78C8" w14:textId="77777777" w:rsidR="0075008C" w:rsidRDefault="0075008C" w:rsidP="00D62284">
      <w:pPr>
        <w:rPr>
          <w:rFonts w:ascii="Museo Sans 300" w:hAnsi="Museo Sans 300"/>
          <w:b/>
          <w:sz w:val="22"/>
          <w:szCs w:val="22"/>
          <w:lang w:val="es-MX"/>
        </w:rPr>
      </w:pPr>
    </w:p>
    <w:p w14:paraId="3128493A" w14:textId="77777777" w:rsidR="00684F68" w:rsidRPr="00D62284" w:rsidRDefault="00684F68" w:rsidP="00D62284">
      <w:pPr>
        <w:rPr>
          <w:rFonts w:ascii="Museo Sans 300" w:hAnsi="Museo Sans 300"/>
          <w:b/>
          <w:sz w:val="22"/>
          <w:szCs w:val="22"/>
          <w:lang w:val="es-MX"/>
        </w:rPr>
      </w:pPr>
      <w:bookmarkStart w:id="34" w:name="_Hlk128488384"/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>Recaudación según Cartera de Contribuyentes</w:t>
      </w:r>
    </w:p>
    <w:p w14:paraId="718E153A" w14:textId="77777777" w:rsidR="00684F68" w:rsidRPr="00D62284" w:rsidRDefault="00684F68" w:rsidP="00684F68">
      <w:pPr>
        <w:pStyle w:val="Prrafodelista"/>
        <w:jc w:val="both"/>
        <w:rPr>
          <w:rFonts w:ascii="Museo Sans 300" w:hAnsi="Museo Sans 300"/>
          <w:sz w:val="22"/>
          <w:szCs w:val="22"/>
          <w:lang w:val="es-MX"/>
        </w:rPr>
      </w:pPr>
    </w:p>
    <w:p w14:paraId="72D14622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De acuerdo con datos preliminares de la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Dirección General de Impuestos Internos (DGII),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la recaudación tributaria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por Cartera de Contribuyentes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muestra que los Grandes Contribuyentes aportaron durante el período enero-diciembre 202</w:t>
      </w:r>
      <w:r w:rsidR="00B132BE">
        <w:rPr>
          <w:rFonts w:ascii="Museo Sans 300" w:hAnsi="Museo Sans 300"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un total de US$3,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>996.0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(el 6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>0.8</w:t>
      </w:r>
      <w:r w:rsidRPr="00D62284">
        <w:rPr>
          <w:rFonts w:ascii="Museo Sans 300" w:hAnsi="Museo Sans 300"/>
          <w:sz w:val="22"/>
          <w:szCs w:val="22"/>
          <w:lang w:val="es-MX"/>
        </w:rPr>
        <w:t>% de los ingresos tributarios), con un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 xml:space="preserve"> crecimiento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de 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>10.5</w:t>
      </w:r>
      <w:r w:rsidRPr="00D62284">
        <w:rPr>
          <w:rFonts w:ascii="Museo Sans 300" w:hAnsi="Museo Sans 300"/>
          <w:sz w:val="22"/>
          <w:szCs w:val="22"/>
          <w:lang w:val="es-MX"/>
        </w:rPr>
        <w:t>% respecto al año anterior; los Medianos Contribuyentes reportaron US$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>1,289.2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equivalentes a una participación del 19.6%, registrando una variación anual de 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>15.4</w:t>
      </w:r>
      <w:r w:rsidRPr="00D62284">
        <w:rPr>
          <w:rFonts w:ascii="Museo Sans 300" w:hAnsi="Museo Sans 300"/>
          <w:sz w:val="22"/>
          <w:szCs w:val="22"/>
          <w:lang w:val="es-MX"/>
        </w:rPr>
        <w:t>%</w:t>
      </w:r>
      <w:r w:rsidR="00481011" w:rsidRPr="00D62284">
        <w:rPr>
          <w:rFonts w:ascii="Museo Sans 300" w:hAnsi="Museo Sans 300"/>
          <w:sz w:val="22"/>
          <w:szCs w:val="22"/>
          <w:lang w:val="es-MX"/>
        </w:rPr>
        <w:t xml:space="preserve"> y los Pequeños Contribuyentes aportaron al fisco un monto de US$1,285.8 millones, equivalente al 19.6%, con un incremento de 25.3%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. </w:t>
      </w:r>
    </w:p>
    <w:p w14:paraId="617C6E20" w14:textId="77777777" w:rsidR="00684F68" w:rsidRDefault="00684F68" w:rsidP="00684F68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14:paraId="7D99B17D" w14:textId="77777777" w:rsidR="00684F68" w:rsidRPr="00D62284" w:rsidRDefault="00684F68" w:rsidP="00684F68">
      <w:pPr>
        <w:pStyle w:val="Ttulo3"/>
        <w:rPr>
          <w:rFonts w:ascii="Museo Sans 300" w:hAnsi="Museo Sans 300"/>
          <w:b/>
          <w:color w:val="auto"/>
          <w:sz w:val="22"/>
          <w:szCs w:val="22"/>
          <w:lang w:val="es-MX"/>
        </w:rPr>
      </w:pPr>
      <w:bookmarkStart w:id="35" w:name="_Toc64531467"/>
      <w:r w:rsidRPr="00D62284">
        <w:rPr>
          <w:rFonts w:ascii="Museo Sans 300" w:hAnsi="Museo Sans 300"/>
          <w:b/>
          <w:color w:val="auto"/>
          <w:sz w:val="22"/>
          <w:szCs w:val="22"/>
          <w:lang w:val="es-MX"/>
        </w:rPr>
        <w:t>Recaudación según Departamentos</w:t>
      </w:r>
      <w:bookmarkEnd w:id="35"/>
    </w:p>
    <w:p w14:paraId="0C3B0FE2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0DD1429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La recaudación tributaria </w:t>
      </w:r>
      <w:r w:rsidRPr="001640B2">
        <w:rPr>
          <w:rFonts w:ascii="Museo Sans 300" w:hAnsi="Museo Sans 300"/>
          <w:sz w:val="22"/>
          <w:szCs w:val="22"/>
          <w:lang w:val="es-MX"/>
        </w:rPr>
        <w:t>por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Área Geográfica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6333ED" w:rsidRPr="00D62284">
        <w:rPr>
          <w:rFonts w:ascii="Museo Sans 300" w:hAnsi="Museo Sans 300"/>
          <w:sz w:val="22"/>
          <w:szCs w:val="22"/>
          <w:lang w:val="es-MX"/>
        </w:rPr>
        <w:t>se tiene que la zona occidental aporta el 4.3%, la zona central el 91.5% y la zona oriental el 3</w:t>
      </w:r>
      <w:r w:rsidR="00B132BE">
        <w:rPr>
          <w:rFonts w:ascii="Museo Sans 300" w:hAnsi="Museo Sans 300"/>
          <w:sz w:val="22"/>
          <w:szCs w:val="22"/>
          <w:lang w:val="es-MX"/>
        </w:rPr>
        <w:t>.</w:t>
      </w:r>
      <w:r w:rsidR="006333ED" w:rsidRPr="00D62284">
        <w:rPr>
          <w:rFonts w:ascii="Museo Sans 300" w:hAnsi="Museo Sans 300"/>
          <w:sz w:val="22"/>
          <w:szCs w:val="22"/>
          <w:lang w:val="es-MX"/>
        </w:rPr>
        <w:t xml:space="preserve">9%. </w:t>
      </w:r>
      <w:r w:rsidR="00A30954">
        <w:rPr>
          <w:rFonts w:ascii="Museo Sans 300" w:hAnsi="Museo Sans 300"/>
          <w:sz w:val="22"/>
          <w:szCs w:val="22"/>
          <w:lang w:val="es-MX"/>
        </w:rPr>
        <w:t xml:space="preserve">A nivel de </w:t>
      </w:r>
      <w:r w:rsidR="006333ED" w:rsidRPr="00D62284">
        <w:rPr>
          <w:rFonts w:ascii="Museo Sans 300" w:hAnsi="Museo Sans 300"/>
          <w:sz w:val="22"/>
          <w:szCs w:val="22"/>
          <w:lang w:val="es-MX"/>
        </w:rPr>
        <w:t xml:space="preserve">departamentos presenta una importante concentración en dos departamentos: </w:t>
      </w:r>
      <w:r w:rsidRPr="00D62284">
        <w:rPr>
          <w:rFonts w:ascii="Museo Sans 300" w:hAnsi="Museo Sans 300"/>
          <w:sz w:val="22"/>
          <w:szCs w:val="22"/>
          <w:lang w:val="es-MX"/>
        </w:rPr>
        <w:t>San Salvador</w:t>
      </w:r>
      <w:r w:rsidR="006333ED" w:rsidRPr="00D62284">
        <w:rPr>
          <w:rFonts w:ascii="Museo Sans 300" w:hAnsi="Museo Sans 300"/>
          <w:sz w:val="22"/>
          <w:szCs w:val="22"/>
          <w:lang w:val="es-MX"/>
        </w:rPr>
        <w:t xml:space="preserve"> con el 58.1%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y La Libertad, que concentran el 31.5% de la recaudación</w:t>
      </w:r>
      <w:r w:rsidR="006333ED" w:rsidRPr="00D62284">
        <w:rPr>
          <w:rFonts w:ascii="Museo Sans 300" w:hAnsi="Museo Sans 300"/>
          <w:sz w:val="22"/>
          <w:szCs w:val="22"/>
          <w:lang w:val="es-MX"/>
        </w:rPr>
        <w:t>, teniendo en estos el 89.6% de los montos recaudados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4C5B588A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14:paraId="67607255" w14:textId="77777777" w:rsidR="00684F68" w:rsidRPr="00D62284" w:rsidRDefault="00684F68" w:rsidP="00684F68">
      <w:pPr>
        <w:pStyle w:val="Ttulo3"/>
        <w:rPr>
          <w:rFonts w:ascii="Museo Sans 300" w:hAnsi="Museo Sans 300"/>
          <w:sz w:val="22"/>
          <w:szCs w:val="22"/>
          <w:lang w:val="es-MX"/>
        </w:rPr>
      </w:pPr>
      <w:bookmarkStart w:id="36" w:name="_Toc64531468"/>
      <w:r w:rsidRPr="00D62284">
        <w:rPr>
          <w:rFonts w:ascii="Museo Sans 300" w:hAnsi="Museo Sans 300"/>
          <w:b/>
          <w:color w:val="auto"/>
          <w:sz w:val="22"/>
          <w:szCs w:val="22"/>
          <w:lang w:val="es-MX"/>
        </w:rPr>
        <w:t>Según sector Económico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  <w:bookmarkEnd w:id="36"/>
    </w:p>
    <w:p w14:paraId="7A0F1CAA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14:paraId="30CB9447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En cuanto a la recaudación </w:t>
      </w:r>
      <w:r w:rsidRPr="001640B2">
        <w:rPr>
          <w:rFonts w:ascii="Museo Sans 300" w:hAnsi="Museo Sans 300"/>
          <w:sz w:val="22"/>
          <w:szCs w:val="22"/>
          <w:lang w:val="es-MX"/>
        </w:rPr>
        <w:t>por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sector económico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, al analizar los resultados, los sectores con mayor peso en la recaudación son los siguientes: Comercio al por mayor y al por menor; Industria Manufacturera y Actividades Financieras y de Seguros, estos </w:t>
      </w:r>
      <w:r w:rsidR="00B132BE">
        <w:rPr>
          <w:rFonts w:ascii="Museo Sans 300" w:hAnsi="Museo Sans 300"/>
          <w:sz w:val="22"/>
          <w:szCs w:val="22"/>
          <w:lang w:val="es-MX"/>
        </w:rPr>
        <w:t xml:space="preserve">en conjunto </w:t>
      </w:r>
      <w:r w:rsidRPr="00D62284">
        <w:rPr>
          <w:rFonts w:ascii="Museo Sans 300" w:hAnsi="Museo Sans 300"/>
          <w:sz w:val="22"/>
          <w:szCs w:val="22"/>
          <w:lang w:val="es-MX"/>
        </w:rPr>
        <w:t>han aportado el 65.</w:t>
      </w:r>
      <w:r w:rsidR="006020EE" w:rsidRPr="00D62284">
        <w:rPr>
          <w:rFonts w:ascii="Museo Sans 300" w:hAnsi="Museo Sans 300"/>
          <w:sz w:val="22"/>
          <w:szCs w:val="22"/>
          <w:lang w:val="es-MX"/>
        </w:rPr>
        <w:t>6</w:t>
      </w:r>
      <w:r w:rsidRPr="00D62284">
        <w:rPr>
          <w:rFonts w:ascii="Museo Sans 300" w:hAnsi="Museo Sans 300"/>
          <w:sz w:val="22"/>
          <w:szCs w:val="22"/>
          <w:lang w:val="es-MX"/>
        </w:rPr>
        <w:t>% del total recaudado.</w:t>
      </w:r>
    </w:p>
    <w:bookmarkEnd w:id="34"/>
    <w:p w14:paraId="0D043EA3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6E3BAB2" w14:textId="77777777" w:rsidR="00684F68" w:rsidRPr="00D62284" w:rsidRDefault="00684F68" w:rsidP="00684F6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Según el informe de la DGII, el comercio al por mayor y al por menor mostraron un mayor monto de recaudación, totalizando US$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2,624.6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(3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9.9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del total recaudado), con un 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incremento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anual de $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315.3 millones (13.7%)</w:t>
      </w:r>
      <w:r w:rsidRPr="00D62284">
        <w:rPr>
          <w:rFonts w:ascii="Museo Sans 300" w:hAnsi="Museo Sans 300"/>
          <w:sz w:val="22"/>
          <w:szCs w:val="22"/>
          <w:lang w:val="es-MX"/>
        </w:rPr>
        <w:t>; Industria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s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Manufacturera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s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es el segundo sector en importancia por su aporte en la recaudación la cual alcanzó US$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1,105.9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equivalente 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 xml:space="preserve">a una participación del </w:t>
      </w:r>
      <w:r w:rsidRPr="00D62284">
        <w:rPr>
          <w:rFonts w:ascii="Museo Sans 300" w:hAnsi="Museo Sans 300"/>
          <w:sz w:val="22"/>
          <w:szCs w:val="22"/>
          <w:lang w:val="es-MX"/>
        </w:rPr>
        <w:t>1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>6.8</w:t>
      </w:r>
      <w:r w:rsidRPr="00D62284">
        <w:rPr>
          <w:rFonts w:ascii="Museo Sans 300" w:hAnsi="Museo Sans 300"/>
          <w:sz w:val="22"/>
          <w:szCs w:val="22"/>
          <w:lang w:val="es-MX"/>
        </w:rPr>
        <w:t>%</w:t>
      </w:r>
      <w:r w:rsidR="00BF4171" w:rsidRPr="00D62284">
        <w:rPr>
          <w:rFonts w:ascii="Museo Sans 300" w:hAnsi="Museo Sans 300"/>
          <w:sz w:val="22"/>
          <w:szCs w:val="22"/>
          <w:lang w:val="es-MX"/>
        </w:rPr>
        <w:t xml:space="preserve"> y con una variación de 5.6% </w:t>
      </w:r>
      <w:r w:rsidRPr="00D62284">
        <w:rPr>
          <w:rFonts w:ascii="Museo Sans 300" w:hAnsi="Museo Sans 300"/>
          <w:sz w:val="22"/>
          <w:szCs w:val="22"/>
          <w:lang w:val="es-MX"/>
        </w:rPr>
        <w:t>y el tercer sector con mayor recaudación fueron las Actividades Financieras y de Seguros, con US$</w:t>
      </w:r>
      <w:r w:rsidR="00CB4ECB" w:rsidRPr="00D62284">
        <w:rPr>
          <w:rFonts w:ascii="Museo Sans 300" w:hAnsi="Museo Sans 300"/>
          <w:sz w:val="22"/>
          <w:szCs w:val="22"/>
          <w:lang w:val="es-MX"/>
        </w:rPr>
        <w:t>577.1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 del </w:t>
      </w:r>
      <w:r w:rsidR="00CB4ECB" w:rsidRPr="00D62284">
        <w:rPr>
          <w:rFonts w:ascii="Museo Sans 300" w:hAnsi="Museo Sans 300"/>
          <w:sz w:val="22"/>
          <w:szCs w:val="22"/>
          <w:lang w:val="es-MX"/>
        </w:rPr>
        <w:t>8.8</w:t>
      </w:r>
      <w:r w:rsidRPr="00D62284">
        <w:rPr>
          <w:rFonts w:ascii="Museo Sans 300" w:hAnsi="Museo Sans 300"/>
          <w:sz w:val="22"/>
          <w:szCs w:val="22"/>
          <w:lang w:val="es-MX"/>
        </w:rPr>
        <w:t>%, siendo m</w:t>
      </w:r>
      <w:r w:rsidR="00CB4ECB" w:rsidRPr="00D62284">
        <w:rPr>
          <w:rFonts w:ascii="Museo Sans 300" w:hAnsi="Museo Sans 300"/>
          <w:sz w:val="22"/>
          <w:szCs w:val="22"/>
          <w:lang w:val="es-MX"/>
        </w:rPr>
        <w:t xml:space="preserve">ayor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con relación al año anterior en </w:t>
      </w:r>
      <w:r w:rsidR="00CB4ECB" w:rsidRPr="00D62284">
        <w:rPr>
          <w:rFonts w:ascii="Museo Sans 300" w:hAnsi="Museo Sans 300"/>
          <w:sz w:val="22"/>
          <w:szCs w:val="22"/>
          <w:lang w:val="es-MX"/>
        </w:rPr>
        <w:t>12.3%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197E2372" w14:textId="77777777" w:rsidR="00DE2D9B" w:rsidRPr="00D62284" w:rsidRDefault="00DE2D9B" w:rsidP="00684F68">
      <w:pPr>
        <w:rPr>
          <w:rFonts w:ascii="Museo Sans 300" w:hAnsi="Museo Sans 300"/>
          <w:sz w:val="22"/>
          <w:szCs w:val="22"/>
          <w:lang w:val="es-MX"/>
        </w:rPr>
      </w:pPr>
      <w:bookmarkStart w:id="37" w:name="_Hlk128488411"/>
    </w:p>
    <w:p w14:paraId="17228BBB" w14:textId="77777777" w:rsidR="00BE54F5" w:rsidRPr="00D62284" w:rsidRDefault="009B117C" w:rsidP="009B117C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bookmarkStart w:id="38" w:name="_Toc56581207"/>
      <w:bookmarkStart w:id="39" w:name="_Toc116389134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1.2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Ingresos no </w:t>
      </w:r>
      <w:r w:rsidR="006007E8" w:rsidRPr="00D62284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31"/>
      <w:bookmarkEnd w:id="32"/>
      <w:bookmarkEnd w:id="33"/>
      <w:bookmarkEnd w:id="38"/>
      <w:bookmarkEnd w:id="39"/>
    </w:p>
    <w:p w14:paraId="23574B12" w14:textId="77777777" w:rsidR="00BE54F5" w:rsidRPr="00D62284" w:rsidRDefault="00BE54F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6E7A59D" w14:textId="77777777" w:rsidR="00212C48" w:rsidRPr="00D62284" w:rsidRDefault="00212C48" w:rsidP="00BE1098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Los ingresos no tributarios a nivel de SPNF registraron un monto de $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1</w:t>
      </w:r>
      <w:r w:rsidR="0068472D">
        <w:rPr>
          <w:rFonts w:ascii="Museo Sans 300" w:hAnsi="Museo Sans 300"/>
          <w:sz w:val="22"/>
          <w:szCs w:val="22"/>
          <w:lang w:val="es-MX"/>
        </w:rPr>
        <w:t>,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124.4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incrementándose en $</w:t>
      </w:r>
      <w:r w:rsidR="00D075C4" w:rsidRPr="00D62284">
        <w:rPr>
          <w:rFonts w:ascii="Museo Sans 300" w:hAnsi="Museo Sans 300"/>
          <w:sz w:val="22"/>
          <w:szCs w:val="22"/>
          <w:lang w:val="es-MX"/>
        </w:rPr>
        <w:t>7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0.4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en relación al mes de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2021, resultado </w:t>
      </w:r>
      <w:r w:rsidR="000941DF" w:rsidRPr="00D62284">
        <w:rPr>
          <w:rFonts w:ascii="Museo Sans 300" w:hAnsi="Museo Sans 300"/>
          <w:sz w:val="22"/>
          <w:szCs w:val="22"/>
          <w:lang w:val="es-MX"/>
        </w:rPr>
        <w:t xml:space="preserve">básicamente </w:t>
      </w:r>
      <w:r w:rsidRPr="00D62284">
        <w:rPr>
          <w:rFonts w:ascii="Museo Sans 300" w:hAnsi="Museo Sans 300"/>
          <w:sz w:val="22"/>
          <w:szCs w:val="22"/>
          <w:lang w:val="es-MX"/>
        </w:rPr>
        <w:t>de aumentos en el Resto de Gobierno General $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71.6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producto de incremento en las contribuciones a la Seguridad Social</w:t>
      </w:r>
      <w:r w:rsidR="00A220BE">
        <w:rPr>
          <w:rFonts w:ascii="Museo Sans 300" w:hAnsi="Museo Sans 300"/>
          <w:sz w:val="22"/>
          <w:szCs w:val="22"/>
          <w:lang w:val="es-MX"/>
        </w:rPr>
        <w:t>, asociado al incremento en el número de cotizantes al ISSS que registraron un crecimiento de 5.8% al mes de noviembre 2022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y</w:t>
      </w:r>
      <w:r w:rsidRPr="00D62284">
        <w:rPr>
          <w:rFonts w:ascii="Museo Sans 300" w:hAnsi="Museo Sans 300" w:cs="Arial"/>
          <w:i/>
          <w:iCs/>
          <w:sz w:val="22"/>
          <w:szCs w:val="22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las Empresas Públicas no Financieras reportan un incremento anual de $</w:t>
      </w:r>
      <w:r w:rsidR="00EC489C" w:rsidRPr="00D62284">
        <w:rPr>
          <w:rFonts w:ascii="Museo Sans 300" w:hAnsi="Museo Sans 300" w:cs="Arial"/>
          <w:iCs/>
          <w:sz w:val="22"/>
          <w:szCs w:val="22"/>
          <w:lang w:val="es-419"/>
        </w:rPr>
        <w:t>22.8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millones.</w:t>
      </w:r>
    </w:p>
    <w:bookmarkEnd w:id="37"/>
    <w:p w14:paraId="5FC95B17" w14:textId="77777777" w:rsidR="007C64D7" w:rsidRPr="00D62284" w:rsidRDefault="007C64D7" w:rsidP="00BE1098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bookmarkEnd w:id="27"/>
    <w:bookmarkEnd w:id="28"/>
    <w:bookmarkEnd w:id="29"/>
    <w:p w14:paraId="4AB86024" w14:textId="77777777" w:rsidR="00BE54F5" w:rsidRPr="00D62284" w:rsidRDefault="00442DE5" w:rsidP="009B117C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40" w:name="_Toc56581208"/>
      <w:bookmarkStart w:id="41" w:name="_Toc116389135"/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1.3 </w:t>
      </w:r>
      <w:r w:rsidR="0033442F" w:rsidRPr="00D62284">
        <w:rPr>
          <w:rFonts w:ascii="Museo Sans 300" w:hAnsi="Museo Sans 300"/>
          <w:b/>
          <w:sz w:val="22"/>
          <w:szCs w:val="22"/>
          <w:lang w:val="es-MX"/>
        </w:rPr>
        <w:t>Superávit de l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as Empresas Públicas </w:t>
      </w:r>
      <w:r w:rsidR="00F71F6D" w:rsidRPr="00D62284">
        <w:rPr>
          <w:rFonts w:ascii="Museo Sans 300" w:hAnsi="Museo Sans 300"/>
          <w:b/>
          <w:sz w:val="22"/>
          <w:szCs w:val="22"/>
          <w:lang w:val="es-MX"/>
        </w:rPr>
        <w:t>N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o Financieras</w:t>
      </w:r>
      <w:bookmarkEnd w:id="40"/>
      <w:bookmarkEnd w:id="41"/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14:paraId="1E4D164E" w14:textId="77777777" w:rsidR="00BE54F5" w:rsidRPr="00D62284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E5D5DEB" w14:textId="77777777" w:rsidR="00D62284" w:rsidRDefault="00212C48" w:rsidP="00212C48">
      <w:pPr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bookmarkStart w:id="42" w:name="_Toc308681665"/>
      <w:bookmarkStart w:id="43" w:name="_Toc319049211"/>
      <w:bookmarkStart w:id="44" w:name="_Toc411843463"/>
      <w:r w:rsidRPr="00D62284">
        <w:rPr>
          <w:rFonts w:ascii="Museo Sans 300" w:hAnsi="Museo Sans 300"/>
          <w:sz w:val="22"/>
          <w:szCs w:val="22"/>
          <w:lang w:val="es-MX"/>
        </w:rPr>
        <w:t xml:space="preserve">Por otra </w:t>
      </w:r>
      <w:r w:rsidR="00FA06EA" w:rsidRPr="00D62284">
        <w:rPr>
          <w:rFonts w:ascii="Museo Sans 300" w:hAnsi="Museo Sans 300"/>
          <w:sz w:val="22"/>
          <w:szCs w:val="22"/>
          <w:lang w:val="es-MX"/>
        </w:rPr>
        <w:t>parte,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las Empresas Públicas No Financieras registran un </w:t>
      </w:r>
      <w:r w:rsidR="00DE2D9B" w:rsidRPr="00D62284">
        <w:rPr>
          <w:rFonts w:ascii="Museo Sans 300" w:hAnsi="Museo Sans 300"/>
          <w:sz w:val="22"/>
          <w:szCs w:val="22"/>
          <w:lang w:val="es-MX"/>
        </w:rPr>
        <w:t>S</w:t>
      </w:r>
      <w:r w:rsidR="00FA06EA" w:rsidRPr="00D62284">
        <w:rPr>
          <w:rFonts w:ascii="Museo Sans 300" w:hAnsi="Museo Sans 300"/>
          <w:sz w:val="22"/>
          <w:szCs w:val="22"/>
          <w:lang w:val="es-MX"/>
        </w:rPr>
        <w:t>uperávit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de </w:t>
      </w:r>
      <w:r w:rsidR="00DE2D9B" w:rsidRPr="00D62284">
        <w:rPr>
          <w:rFonts w:ascii="Museo Sans 300" w:hAnsi="Museo Sans 300"/>
          <w:sz w:val="22"/>
          <w:szCs w:val="22"/>
          <w:lang w:val="es-MX"/>
        </w:rPr>
        <w:t>O</w:t>
      </w:r>
      <w:r w:rsidRPr="00D62284">
        <w:rPr>
          <w:rFonts w:ascii="Museo Sans 300" w:hAnsi="Museo Sans 300"/>
          <w:sz w:val="22"/>
          <w:szCs w:val="22"/>
          <w:lang w:val="es-MX"/>
        </w:rPr>
        <w:t>peración de $</w:t>
      </w:r>
      <w:r w:rsidR="00D075C4" w:rsidRPr="00D62284">
        <w:rPr>
          <w:rFonts w:ascii="Museo Sans 300" w:hAnsi="Museo Sans 300"/>
          <w:sz w:val="22"/>
          <w:szCs w:val="22"/>
          <w:lang w:val="es-MX"/>
        </w:rPr>
        <w:t>1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96.6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experimentando un incremento con respecto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2021 de $</w:t>
      </w:r>
      <w:r w:rsidR="00EC489C" w:rsidRPr="00D62284">
        <w:rPr>
          <w:rFonts w:ascii="Museo Sans 300" w:hAnsi="Museo Sans 300"/>
          <w:sz w:val="22"/>
          <w:szCs w:val="22"/>
          <w:lang w:val="es-MX"/>
        </w:rPr>
        <w:t>48.0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el resultado proviene </w:t>
      </w:r>
      <w:r w:rsidR="006E1922" w:rsidRPr="006E1922">
        <w:rPr>
          <w:rFonts w:ascii="Museo Sans 300" w:hAnsi="Museo Sans 300"/>
          <w:sz w:val="22"/>
          <w:szCs w:val="22"/>
          <w:lang w:val="es-MX"/>
        </w:rPr>
        <w:t xml:space="preserve">principalmente por el incremento en sus ingresos de operación </w:t>
      </w:r>
      <w:r w:rsidR="006E1922" w:rsidRPr="006E1922">
        <w:rPr>
          <w:rFonts w:ascii="Museo Sans 300" w:hAnsi="Museo Sans 300"/>
          <w:sz w:val="22"/>
          <w:szCs w:val="22"/>
          <w:lang w:val="es-MX"/>
        </w:rPr>
        <w:lastRenderedPageBreak/>
        <w:t xml:space="preserve">y una reducción de sus gastos de operación. Cabe destacar que en ANDA se registra una reducción importante de gastos de operación, por un valor de $35.6 millones.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2EE8C0F6" w14:textId="77777777" w:rsidR="0085051F" w:rsidRDefault="0085051F" w:rsidP="00212C48">
      <w:pPr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</w:p>
    <w:p w14:paraId="323F66DF" w14:textId="77777777" w:rsidR="00BE54F5" w:rsidRPr="00D62284" w:rsidRDefault="00BF745F" w:rsidP="009B117C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bookmarkStart w:id="45" w:name="_Toc56581209"/>
      <w:bookmarkStart w:id="46" w:name="_Toc116389136"/>
      <w:r w:rsidRPr="00D62284">
        <w:rPr>
          <w:rFonts w:ascii="Museo Sans 300" w:hAnsi="Museo Sans 300"/>
          <w:b/>
          <w:sz w:val="22"/>
          <w:szCs w:val="22"/>
          <w:lang w:val="es-MX"/>
        </w:rPr>
        <w:t>1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.4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Donaciones</w:t>
      </w:r>
      <w:bookmarkEnd w:id="42"/>
      <w:bookmarkEnd w:id="43"/>
      <w:bookmarkEnd w:id="44"/>
      <w:bookmarkEnd w:id="45"/>
      <w:bookmarkEnd w:id="46"/>
    </w:p>
    <w:p w14:paraId="455A5A1E" w14:textId="77777777" w:rsidR="00BE54F5" w:rsidRPr="00D62284" w:rsidRDefault="00BE54F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6401A53" w14:textId="77777777" w:rsidR="00233051" w:rsidRPr="00D62284" w:rsidRDefault="00233051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47" w:name="_Toc411843464"/>
      <w:bookmarkStart w:id="48" w:name="_Toc505951456"/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Finalmente, las donaciones registraron un total de 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>$</w:t>
      </w:r>
      <w:r w:rsidR="00D075C4" w:rsidRPr="00D62284">
        <w:rPr>
          <w:rFonts w:ascii="Museo Sans 300" w:hAnsi="Museo Sans 300" w:cs="Arial"/>
          <w:noProof/>
          <w:sz w:val="22"/>
          <w:szCs w:val="22"/>
          <w:lang w:val="es-SV"/>
        </w:rPr>
        <w:t>1</w:t>
      </w:r>
      <w:r w:rsidR="00EC489C" w:rsidRPr="00D62284">
        <w:rPr>
          <w:rFonts w:ascii="Museo Sans 300" w:hAnsi="Museo Sans 300" w:cs="Arial"/>
          <w:noProof/>
          <w:sz w:val="22"/>
          <w:szCs w:val="22"/>
          <w:lang w:val="es-SV"/>
        </w:rPr>
        <w:t>9</w:t>
      </w:r>
      <w:r w:rsidR="00D075C4" w:rsidRPr="00D62284">
        <w:rPr>
          <w:rFonts w:ascii="Museo Sans 300" w:hAnsi="Museo Sans 300" w:cs="Arial"/>
          <w:noProof/>
          <w:sz w:val="22"/>
          <w:szCs w:val="22"/>
          <w:lang w:val="es-SV"/>
        </w:rPr>
        <w:t>.4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</w:t>
      </w:r>
      <w:r w:rsidR="00D075C4" w:rsidRPr="00D62284">
        <w:rPr>
          <w:rFonts w:ascii="Museo Sans 300" w:hAnsi="Museo Sans 300" w:cs="Arial"/>
          <w:noProof/>
          <w:sz w:val="22"/>
          <w:szCs w:val="22"/>
          <w:lang w:val="es-SV"/>
        </w:rPr>
        <w:t>disminuyeron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en $</w:t>
      </w:r>
      <w:r w:rsidR="00D075C4" w:rsidRPr="00D62284">
        <w:rPr>
          <w:rFonts w:ascii="Museo Sans 300" w:hAnsi="Museo Sans 300" w:cs="Arial"/>
          <w:noProof/>
          <w:sz w:val="22"/>
          <w:szCs w:val="22"/>
          <w:lang w:val="es-SV"/>
        </w:rPr>
        <w:t>3.</w:t>
      </w:r>
      <w:r w:rsidR="00EC489C" w:rsidRPr="00D62284">
        <w:rPr>
          <w:rFonts w:ascii="Museo Sans 300" w:hAnsi="Museo Sans 300" w:cs="Arial"/>
          <w:noProof/>
          <w:sz w:val="22"/>
          <w:szCs w:val="22"/>
          <w:lang w:val="es-SV"/>
        </w:rPr>
        <w:t>8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 con respecto 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a </w:t>
      </w:r>
      <w:r w:rsidR="00712719" w:rsidRPr="00D62284">
        <w:rPr>
          <w:rFonts w:ascii="Museo Sans 300" w:hAnsi="Museo Sans 300" w:cs="Arial"/>
          <w:noProof/>
          <w:sz w:val="22"/>
          <w:szCs w:val="22"/>
          <w:lang w:val="es-SV"/>
        </w:rPr>
        <w:t>diciembre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202</w:t>
      </w:r>
      <w:r w:rsidR="0041595F" w:rsidRPr="00D62284">
        <w:rPr>
          <w:rFonts w:ascii="Museo Sans 300" w:hAnsi="Museo Sans 300" w:cs="Arial"/>
          <w:noProof/>
          <w:sz w:val="22"/>
          <w:szCs w:val="22"/>
          <w:lang w:val="es-SV"/>
        </w:rPr>
        <w:t>1</w:t>
      </w:r>
      <w:r w:rsidR="00926BCC" w:rsidRPr="00D62284">
        <w:rPr>
          <w:rFonts w:ascii="Museo Sans 300" w:hAnsi="Museo Sans 300" w:cs="Arial"/>
          <w:noProof/>
          <w:sz w:val="22"/>
          <w:szCs w:val="22"/>
          <w:lang w:val="es-SV"/>
        </w:rPr>
        <w:t>.</w:t>
      </w:r>
    </w:p>
    <w:p w14:paraId="543EAB6E" w14:textId="77777777" w:rsidR="00233051" w:rsidRDefault="00233051" w:rsidP="0011125B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</w:p>
    <w:p w14:paraId="03438D88" w14:textId="77777777" w:rsidR="00BE54F5" w:rsidRPr="00D85C11" w:rsidRDefault="00AA7D08" w:rsidP="00D834F7">
      <w:pPr>
        <w:pStyle w:val="Ttulo3"/>
        <w:rPr>
          <w:rFonts w:ascii="Museo Sans 300" w:hAnsi="Museo Sans 300"/>
          <w:sz w:val="22"/>
          <w:szCs w:val="22"/>
          <w:lang w:val="es-MX"/>
        </w:rPr>
      </w:pPr>
      <w:bookmarkStart w:id="49" w:name="_Toc56581210"/>
      <w:bookmarkStart w:id="50" w:name="_Toc116389137"/>
      <w:r w:rsidRPr="00D62284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bookmarkStart w:id="51" w:name="_Hlk128489558"/>
      <w:r w:rsidR="00BE54F5" w:rsidRPr="00D85C11">
        <w:rPr>
          <w:rFonts w:ascii="Museo Sans 300" w:hAnsi="Museo Sans 300"/>
          <w:b/>
          <w:sz w:val="22"/>
          <w:szCs w:val="22"/>
          <w:lang w:val="es-MX"/>
        </w:rPr>
        <w:t>Gasto</w:t>
      </w:r>
      <w:r w:rsidR="007B1E8F" w:rsidRPr="00D85C11">
        <w:rPr>
          <w:rFonts w:ascii="Museo Sans 300" w:hAnsi="Museo Sans 300"/>
          <w:b/>
          <w:sz w:val="22"/>
          <w:szCs w:val="22"/>
          <w:lang w:val="es-MX"/>
        </w:rPr>
        <w:t>s</w:t>
      </w:r>
      <w:r w:rsidR="00BE54F5" w:rsidRPr="00D85C11">
        <w:rPr>
          <w:rFonts w:ascii="Museo Sans 300" w:hAnsi="Museo Sans 300"/>
          <w:b/>
          <w:sz w:val="22"/>
          <w:szCs w:val="22"/>
          <w:lang w:val="es-MX"/>
        </w:rPr>
        <w:t xml:space="preserve"> del Sector Público No Financiero</w:t>
      </w:r>
      <w:bookmarkEnd w:id="47"/>
      <w:bookmarkEnd w:id="48"/>
      <w:bookmarkEnd w:id="49"/>
      <w:r w:rsidR="00B2286A" w:rsidRPr="00D85C1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996C7C" w:rsidRPr="00D85C11">
        <w:rPr>
          <w:rFonts w:ascii="Museo Sans 300" w:hAnsi="Museo Sans 300"/>
          <w:sz w:val="22"/>
          <w:szCs w:val="22"/>
          <w:lang w:val="es-MX"/>
        </w:rPr>
        <w:t>(ver anexo 1</w:t>
      </w:r>
      <w:r w:rsidR="00404593" w:rsidRPr="00D85C11">
        <w:rPr>
          <w:rFonts w:ascii="Museo Sans 300" w:hAnsi="Museo Sans 300"/>
          <w:sz w:val="22"/>
          <w:szCs w:val="22"/>
          <w:lang w:val="es-MX"/>
        </w:rPr>
        <w:t xml:space="preserve"> y 2</w:t>
      </w:r>
      <w:r w:rsidR="00996C7C" w:rsidRPr="00D85C11">
        <w:rPr>
          <w:rFonts w:ascii="Museo Sans 300" w:hAnsi="Museo Sans 300"/>
          <w:sz w:val="22"/>
          <w:szCs w:val="22"/>
          <w:lang w:val="es-MX"/>
        </w:rPr>
        <w:t>)</w:t>
      </w:r>
      <w:bookmarkEnd w:id="50"/>
    </w:p>
    <w:p w14:paraId="51994377" w14:textId="77777777" w:rsidR="00F87661" w:rsidRPr="00D85C11" w:rsidRDefault="00F87661" w:rsidP="00F87661">
      <w:pPr>
        <w:rPr>
          <w:rFonts w:ascii="Museo Sans 300" w:hAnsi="Museo Sans 300"/>
          <w:sz w:val="22"/>
          <w:szCs w:val="22"/>
          <w:lang w:val="es-MX"/>
        </w:rPr>
      </w:pPr>
    </w:p>
    <w:p w14:paraId="7FBE1AC0" w14:textId="77777777" w:rsidR="002B76EB" w:rsidRPr="00D62284" w:rsidRDefault="002B76EB" w:rsidP="002B76EB">
      <w:pPr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La ejecución del gasto total del SPNF al mes de </w:t>
      </w:r>
      <w:r w:rsidR="00712719" w:rsidRPr="00D85C11">
        <w:rPr>
          <w:rFonts w:ascii="Museo Sans 300" w:hAnsi="Museo Sans 300" w:cs="Arial"/>
          <w:iCs/>
          <w:sz w:val="22"/>
          <w:szCs w:val="22"/>
          <w:lang w:val="es-MX"/>
        </w:rPr>
        <w:t>diciembre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de 2022 ascendió a $</w:t>
      </w:r>
      <w:r w:rsidR="003E3884" w:rsidRPr="00D85C11">
        <w:rPr>
          <w:rFonts w:ascii="Museo Sans 300" w:hAnsi="Museo Sans 300" w:cs="Arial"/>
          <w:iCs/>
          <w:sz w:val="22"/>
          <w:szCs w:val="22"/>
          <w:lang w:val="es-MX"/>
        </w:rPr>
        <w:t>8,453.8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millones,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con un aumento de $</w:t>
      </w:r>
      <w:r w:rsidR="00021910" w:rsidRPr="00D62284">
        <w:rPr>
          <w:rFonts w:ascii="Museo Sans 300" w:hAnsi="Museo Sans 300" w:cs="Arial"/>
          <w:iCs/>
          <w:sz w:val="22"/>
          <w:szCs w:val="22"/>
          <w:lang w:val="es-MX"/>
        </w:rPr>
        <w:t>78.9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 Los gastos totales representaron en términos del PIB, un </w:t>
      </w:r>
      <w:r w:rsidR="00021910" w:rsidRPr="00D62284">
        <w:rPr>
          <w:rFonts w:ascii="Museo Sans 300" w:hAnsi="Museo Sans 300" w:cs="Arial"/>
          <w:iCs/>
          <w:sz w:val="22"/>
          <w:szCs w:val="22"/>
          <w:lang w:val="es-MX"/>
        </w:rPr>
        <w:t>26.6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%, disminuyendo en </w:t>
      </w:r>
      <w:r w:rsidR="00021910" w:rsidRPr="00D62284">
        <w:rPr>
          <w:rFonts w:ascii="Museo Sans 300" w:hAnsi="Museo Sans 300" w:cs="Arial"/>
          <w:iCs/>
          <w:sz w:val="22"/>
          <w:szCs w:val="22"/>
          <w:lang w:val="es-MX"/>
        </w:rPr>
        <w:t>2.5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puntos porcentuales con respecto a 2021.</w:t>
      </w:r>
    </w:p>
    <w:bookmarkEnd w:id="51"/>
    <w:p w14:paraId="3B152585" w14:textId="77777777" w:rsidR="00E171F3" w:rsidRPr="00D62284" w:rsidRDefault="00E171F3" w:rsidP="009D513A">
      <w:pPr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354D3D34" w14:textId="77777777" w:rsidR="00A25034" w:rsidRPr="00D62284" w:rsidRDefault="00BE54F5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4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: Evolución del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G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P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úblico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T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otal del SPNF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714B06" w:rsidRPr="00D62284">
        <w:rPr>
          <w:rFonts w:ascii="Museo Sans 300" w:hAnsi="Museo Sans 300"/>
          <w:sz w:val="22"/>
          <w:szCs w:val="22"/>
          <w:lang w:val="es-MX"/>
        </w:rPr>
        <w:t>14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>-20</w:t>
      </w:r>
      <w:r w:rsidR="00714B06" w:rsidRPr="00D62284">
        <w:rPr>
          <w:rFonts w:ascii="Museo Sans 300" w:hAnsi="Museo Sans 300"/>
          <w:sz w:val="22"/>
          <w:szCs w:val="22"/>
          <w:lang w:val="es-MX"/>
        </w:rPr>
        <w:t>2</w:t>
      </w:r>
      <w:r w:rsidR="00E41D5E" w:rsidRPr="00D62284">
        <w:rPr>
          <w:rFonts w:ascii="Museo Sans 300" w:hAnsi="Museo Sans 300"/>
          <w:sz w:val="22"/>
          <w:szCs w:val="22"/>
          <w:lang w:val="es-MX"/>
        </w:rPr>
        <w:t>2</w:t>
      </w:r>
    </w:p>
    <w:p w14:paraId="6F31BE38" w14:textId="77777777" w:rsidR="00BB3C83" w:rsidRPr="00D62284" w:rsidRDefault="00BB3C83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625B4B60" w14:textId="77777777" w:rsidR="00DE2D9B" w:rsidRPr="00D62284" w:rsidRDefault="00DE2D9B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63678467" w14:textId="77777777" w:rsidR="001E1C63" w:rsidRPr="00D62284" w:rsidRDefault="001C3C2B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13F2D038" wp14:editId="652AB11C">
            <wp:extent cx="5041842" cy="3040527"/>
            <wp:effectExtent l="0" t="0" r="6985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855" cy="30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F5E27" w14:textId="77777777" w:rsidR="00305721" w:rsidRPr="00D62284" w:rsidRDefault="00305721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20DBC5E0" w14:textId="77777777" w:rsidR="00A25034" w:rsidRPr="00D85C11" w:rsidRDefault="00DE2D9B" w:rsidP="00DE2D9B">
      <w:pPr>
        <w:rPr>
          <w:rFonts w:ascii="Museo Sans 300" w:hAnsi="Museo Sans 300"/>
          <w:b/>
          <w:sz w:val="18"/>
          <w:szCs w:val="18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                           </w:t>
      </w:r>
      <w:r w:rsidR="00BC718B" w:rsidRPr="00D85C11">
        <w:rPr>
          <w:rFonts w:ascii="Museo Sans 300" w:hAnsi="Museo Sans 300"/>
          <w:b/>
          <w:sz w:val="18"/>
          <w:szCs w:val="18"/>
          <w:lang w:val="es-MX"/>
        </w:rPr>
        <w:t>Fuente</w:t>
      </w:r>
      <w:r w:rsidR="00ED3D89" w:rsidRPr="00D85C11">
        <w:rPr>
          <w:rFonts w:ascii="Museo Sans 300" w:hAnsi="Museo Sans 300"/>
          <w:b/>
          <w:sz w:val="18"/>
          <w:szCs w:val="18"/>
          <w:lang w:val="es-MX"/>
        </w:rPr>
        <w:t>: Ministerio de Hacienda</w:t>
      </w:r>
    </w:p>
    <w:p w14:paraId="2A42F5B2" w14:textId="77777777" w:rsidR="00DE2D9B" w:rsidRPr="00D85C11" w:rsidRDefault="00442DE5" w:rsidP="008733DC">
      <w:pPr>
        <w:pStyle w:val="Ttulo2"/>
        <w:rPr>
          <w:rFonts w:ascii="Museo Sans 300" w:hAnsi="Museo Sans 300"/>
          <w:sz w:val="18"/>
          <w:szCs w:val="18"/>
          <w:lang w:val="es-MX"/>
        </w:rPr>
      </w:pPr>
      <w:bookmarkStart w:id="52" w:name="_Toc411843465"/>
      <w:r w:rsidRPr="00D85C11">
        <w:rPr>
          <w:rFonts w:ascii="Museo Sans 300" w:hAnsi="Museo Sans 300"/>
          <w:sz w:val="18"/>
          <w:szCs w:val="18"/>
          <w:lang w:val="es-MX"/>
        </w:rPr>
        <w:t xml:space="preserve"> </w:t>
      </w:r>
      <w:bookmarkStart w:id="53" w:name="_Toc56581211"/>
      <w:bookmarkStart w:id="54" w:name="_Toc116389138"/>
    </w:p>
    <w:p w14:paraId="65D886E7" w14:textId="77777777" w:rsidR="007C64D7" w:rsidRPr="00D62284" w:rsidRDefault="007C64D7" w:rsidP="007C64D7">
      <w:pPr>
        <w:rPr>
          <w:rFonts w:ascii="Museo Sans 300" w:hAnsi="Museo Sans 300"/>
          <w:sz w:val="22"/>
          <w:szCs w:val="22"/>
          <w:lang w:val="es-MX"/>
        </w:rPr>
      </w:pPr>
    </w:p>
    <w:p w14:paraId="3EBC3292" w14:textId="77777777" w:rsidR="00BE54F5" w:rsidRPr="00D62284" w:rsidRDefault="00AA7D08" w:rsidP="008733DC">
      <w:pPr>
        <w:pStyle w:val="Ttulo2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.1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Gastos corrientes</w:t>
      </w:r>
      <w:bookmarkEnd w:id="52"/>
      <w:bookmarkEnd w:id="53"/>
      <w:bookmarkEnd w:id="54"/>
    </w:p>
    <w:p w14:paraId="54ECDF08" w14:textId="77777777" w:rsidR="00BB5C3E" w:rsidRPr="00D62284" w:rsidRDefault="00BB5C3E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E352780" w14:textId="77777777" w:rsidR="002B76EB" w:rsidRPr="00421E11" w:rsidRDefault="002B76EB" w:rsidP="002B76EB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MX"/>
        </w:rPr>
      </w:pPr>
      <w:bookmarkStart w:id="55" w:name="_Hlk128489576"/>
      <w:r w:rsidRPr="00D62284">
        <w:rPr>
          <w:rFonts w:ascii="Museo Sans 300" w:hAnsi="Museo Sans 300" w:cs="Arial"/>
          <w:iCs/>
          <w:sz w:val="22"/>
          <w:szCs w:val="22"/>
          <w:lang w:val="es-MX"/>
        </w:rPr>
        <w:t>Los gastos corrientes del SPNF registraron un monto de $</w:t>
      </w:r>
      <w:r w:rsidR="00137129" w:rsidRPr="00D62284">
        <w:rPr>
          <w:rFonts w:ascii="Museo Sans 300" w:hAnsi="Museo Sans 300" w:cs="Arial"/>
          <w:iCs/>
          <w:sz w:val="22"/>
          <w:szCs w:val="22"/>
          <w:lang w:val="es-MX"/>
        </w:rPr>
        <w:t>7,592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.3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 mostrando un incremento de 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.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7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%. Como porcentaje del PIB el gasto corriente</w:t>
      </w:r>
      <w:r w:rsidR="00DE2D9B"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fue equivalente a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23.9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%, </w:t>
      </w:r>
    </w:p>
    <w:bookmarkEnd w:id="55"/>
    <w:p w14:paraId="78391B0F" w14:textId="77777777" w:rsidR="002B76EB" w:rsidRPr="00421E11" w:rsidRDefault="002B76EB" w:rsidP="002B76EB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MX"/>
        </w:rPr>
      </w:pPr>
    </w:p>
    <w:p w14:paraId="41D00C2E" w14:textId="77777777" w:rsidR="00D85C11" w:rsidRDefault="002B76EB" w:rsidP="002F0601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De forma detallada los gastos de consumo, ascendieron a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4,740.1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 con un incremento de $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55.5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comparado al 2021. </w:t>
      </w:r>
      <w:r w:rsidR="00C60002" w:rsidRPr="00D62284">
        <w:rPr>
          <w:rFonts w:ascii="Museo Sans 300" w:hAnsi="Museo Sans 300" w:cs="Arial"/>
          <w:iCs/>
          <w:sz w:val="22"/>
          <w:szCs w:val="22"/>
          <w:lang w:val="es-MX"/>
        </w:rPr>
        <w:t>E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l rubro de remuneraciones muestra un aumento de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84.6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 Por su parte, el Rubro de Bienes y Servicios reportó un crecimiento de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70.9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</w:t>
      </w:r>
    </w:p>
    <w:p w14:paraId="657012C1" w14:textId="77777777" w:rsidR="00D85C11" w:rsidRDefault="00D85C11" w:rsidP="002F0601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178C7259" w14:textId="77777777" w:rsidR="002B76EB" w:rsidRPr="00D62284" w:rsidRDefault="002B76EB" w:rsidP="00D85C11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Los intereses de la deuda ascendieron a un valor de $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/>
        </w:rPr>
        <w:t>1,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491.5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 </w:t>
      </w:r>
      <w:r w:rsidR="00441648" w:rsidRPr="007D123E">
        <w:rPr>
          <w:rFonts w:ascii="Museo Sans 300" w:hAnsi="Museo Sans 300" w:cs="Arial"/>
          <w:iCs/>
          <w:sz w:val="22"/>
          <w:szCs w:val="22"/>
          <w:lang w:val="es-MX"/>
        </w:rPr>
        <w:t>con</w:t>
      </w:r>
      <w:r w:rsidR="00441648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un incremento de $ 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/>
        </w:rPr>
        <w:t>87.9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</w:t>
      </w:r>
      <w:r w:rsidR="0085051F">
        <w:rPr>
          <w:rFonts w:ascii="Museo Sans 300" w:hAnsi="Museo Sans 300" w:cs="Arial"/>
          <w:iCs/>
          <w:sz w:val="22"/>
          <w:szCs w:val="22"/>
          <w:lang w:val="es-MX"/>
        </w:rPr>
        <w:t>, principalmente en concepto bonos y prestamos externos.</w:t>
      </w:r>
    </w:p>
    <w:p w14:paraId="020B79F5" w14:textId="77777777" w:rsidR="00240E05" w:rsidRPr="00D62284" w:rsidRDefault="00240E05" w:rsidP="002B76EB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0D525345" w14:textId="77777777" w:rsidR="00D85C11" w:rsidRPr="00D85C11" w:rsidRDefault="002B76EB" w:rsidP="00D85C11">
      <w:pPr>
        <w:pStyle w:val="NormalWeb"/>
        <w:shd w:val="clear" w:color="auto" w:fill="FFFFFF"/>
        <w:spacing w:before="0" w:beforeAutospacing="0" w:after="143" w:afterAutospacing="0"/>
        <w:jc w:val="both"/>
        <w:rPr>
          <w:rFonts w:ascii="Museo Sans 300" w:hAnsi="Museo Sans 300" w:cs="Arial"/>
          <w:iCs/>
          <w:sz w:val="22"/>
          <w:szCs w:val="22"/>
          <w:lang w:val="es-MX" w:eastAsia="es-ES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>En cuanto a las transferencias corrientes, éstas ascendieron a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>1,360.7</w:t>
      </w:r>
      <w:r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millones, 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>disminuyendo $1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>40.2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millones </w:t>
      </w:r>
      <w:r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>con respecto al año anterior.</w:t>
      </w:r>
      <w:r w:rsidR="006059B0" w:rsidRPr="00D62284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</w:t>
      </w:r>
      <w:r w:rsidR="00D85C11" w:rsidRPr="00D85C11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Entre las transferencias que registraron los mayores montos podemos mencionar: el pago a Veteranos y ex combatientes $131.4 millones; subsidios $253.8 millones; transferencia al Instituto de Previsión de la Fuerza Armada (IPSFA) $88.3 millones, aporte al régimen de pensiones de INPEP e ISSS $151.6 millones, paquetes escolares $ 50.0 millones, lisiados y desmovilizados $63.7 millones, pensión minina $41.4 millones, entre otras. </w:t>
      </w:r>
    </w:p>
    <w:p w14:paraId="2A513871" w14:textId="77777777" w:rsidR="007732BA" w:rsidRPr="00F46D69" w:rsidRDefault="001B1625" w:rsidP="00770260">
      <w:pPr>
        <w:pStyle w:val="NormalWeb"/>
        <w:shd w:val="clear" w:color="auto" w:fill="FFFFFF"/>
        <w:spacing w:before="0" w:beforeAutospacing="0" w:after="143" w:afterAutospacing="0"/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5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Composición del gasto corriente del SPNF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01373" w:rsidRPr="00D62284">
        <w:rPr>
          <w:rFonts w:ascii="Museo Sans 300" w:hAnsi="Museo Sans 300"/>
          <w:sz w:val="22"/>
          <w:szCs w:val="22"/>
          <w:lang w:val="es-MX"/>
        </w:rPr>
        <w:t>201</w:t>
      </w:r>
      <w:r w:rsidR="00BE0A31" w:rsidRPr="00D62284">
        <w:rPr>
          <w:rFonts w:ascii="Museo Sans 300" w:hAnsi="Museo Sans 300"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-20</w:t>
      </w:r>
      <w:r w:rsidR="00072BB0" w:rsidRPr="00D62284">
        <w:rPr>
          <w:rFonts w:ascii="Museo Sans 300" w:hAnsi="Museo Sans 300"/>
          <w:sz w:val="22"/>
          <w:szCs w:val="22"/>
          <w:lang w:val="es-MX"/>
        </w:rPr>
        <w:t>2</w:t>
      </w:r>
      <w:r w:rsidR="00E41D5E" w:rsidRPr="00D62284">
        <w:rPr>
          <w:rFonts w:ascii="Museo Sans 300" w:hAnsi="Museo Sans 300"/>
          <w:sz w:val="22"/>
          <w:szCs w:val="22"/>
          <w:lang w:val="es-MX"/>
        </w:rPr>
        <w:t>2</w:t>
      </w:r>
    </w:p>
    <w:p w14:paraId="08EEFE44" w14:textId="77777777" w:rsidR="00745752" w:rsidRPr="00D62284" w:rsidRDefault="00745752" w:rsidP="00F5794C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39D3C46" w14:textId="77777777" w:rsidR="001B1625" w:rsidRPr="00D62284" w:rsidRDefault="00FF5B0C" w:rsidP="007732BA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FF5B0C">
        <w:rPr>
          <w:noProof/>
        </w:rPr>
        <w:drawing>
          <wp:inline distT="0" distB="0" distL="0" distR="0" wp14:anchorId="31D964ED" wp14:editId="7C01A532">
            <wp:extent cx="4909293" cy="2776243"/>
            <wp:effectExtent l="0" t="0" r="5715" b="50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296" cy="27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2926" w14:textId="77777777" w:rsidR="006E1D43" w:rsidRPr="00D62284" w:rsidRDefault="006E1D43" w:rsidP="0084466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</w:p>
    <w:p w14:paraId="6A1D858C" w14:textId="77777777" w:rsidR="00593265" w:rsidRDefault="00593265" w:rsidP="0084466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</w:p>
    <w:p w14:paraId="09993789" w14:textId="77777777" w:rsidR="0098260F" w:rsidRPr="00D62284" w:rsidRDefault="002C3C06" w:rsidP="0084466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 la gr</w:t>
      </w:r>
      <w:r w:rsidR="00D61A43" w:rsidRPr="00D62284">
        <w:rPr>
          <w:rFonts w:ascii="Museo Sans 300" w:hAnsi="Museo Sans 300" w:cs="Arial"/>
          <w:iCs/>
          <w:sz w:val="22"/>
          <w:szCs w:val="22"/>
          <w:lang w:val="es-SV"/>
        </w:rPr>
        <w:t>á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fica </w:t>
      </w:r>
      <w:r w:rsidR="0032502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6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se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present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la evolución de los subsidios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durante el período 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="00774C28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12719" w:rsidRPr="00D62284">
        <w:rPr>
          <w:rFonts w:ascii="Museo Sans 300" w:hAnsi="Museo Sans 300" w:cs="Arial"/>
          <w:iCs/>
          <w:sz w:val="22"/>
          <w:szCs w:val="22"/>
          <w:lang w:val="es-SV"/>
        </w:rPr>
        <w:t>diciembre</w:t>
      </w:r>
      <w:r w:rsidR="00774C28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2014</w:t>
      </w:r>
      <w:r w:rsidR="0085051F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-</w:t>
      </w:r>
      <w:r w:rsidR="00844663" w:rsidRPr="00D62284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02</w:t>
      </w:r>
      <w:r w:rsidR="00BD5595" w:rsidRPr="00D62284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, </w:t>
      </w:r>
      <w:r w:rsidR="00386BC0" w:rsidRPr="00D62284">
        <w:rPr>
          <w:rFonts w:ascii="Museo Sans 300" w:hAnsi="Museo Sans 300" w:cs="Arial"/>
          <w:iCs/>
          <w:sz w:val="22"/>
          <w:szCs w:val="22"/>
          <w:lang w:val="es-SV"/>
        </w:rPr>
        <w:t>en donde se observa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una tendencia decreciente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al pasar de 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SV"/>
        </w:rPr>
        <w:t>1.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4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5C4917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con respecto 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del PIB </w:t>
      </w:r>
      <w:r w:rsidR="00151722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en 2014 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>a 0.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SV"/>
        </w:rPr>
        <w:t>7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355D4B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a </w:t>
      </w:r>
      <w:r w:rsidR="00712719" w:rsidRPr="00D62284">
        <w:rPr>
          <w:rFonts w:ascii="Museo Sans 300" w:hAnsi="Museo Sans 300" w:cs="Arial"/>
          <w:iCs/>
          <w:sz w:val="22"/>
          <w:szCs w:val="22"/>
          <w:lang w:val="es-SV"/>
        </w:rPr>
        <w:t>diciembre</w:t>
      </w:r>
      <w:r w:rsidR="00355D4B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2022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>.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340B9B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El total de 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>los subsidios asc</w:t>
      </w:r>
      <w:r w:rsidR="00490A7C">
        <w:rPr>
          <w:rFonts w:ascii="Museo Sans 300" w:hAnsi="Museo Sans 300" w:cs="Arial"/>
          <w:iCs/>
          <w:sz w:val="22"/>
          <w:szCs w:val="22"/>
          <w:lang w:val="es-SV"/>
        </w:rPr>
        <w:t xml:space="preserve">endieron 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>a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253.8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millones, </w:t>
      </w:r>
      <w:r w:rsidR="00F00D19" w:rsidRPr="00D62284">
        <w:rPr>
          <w:rFonts w:ascii="Museo Sans 300" w:hAnsi="Museo Sans 300" w:cs="Arial"/>
          <w:iCs/>
          <w:sz w:val="22"/>
          <w:szCs w:val="22"/>
          <w:lang w:val="es-SV"/>
        </w:rPr>
        <w:t>aumentando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45.8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con respecto a </w:t>
      </w:r>
      <w:r w:rsidR="00581B7E" w:rsidRPr="00D62284">
        <w:rPr>
          <w:rFonts w:ascii="Museo Sans 300" w:hAnsi="Museo Sans 300" w:cs="Arial"/>
          <w:iCs/>
          <w:sz w:val="22"/>
          <w:szCs w:val="22"/>
          <w:lang w:val="es-SV"/>
        </w:rPr>
        <w:t>2021</w:t>
      </w:r>
      <w:r w:rsidR="00203AB1" w:rsidRPr="00D62284">
        <w:rPr>
          <w:rFonts w:ascii="Museo Sans 300" w:hAnsi="Museo Sans 300" w:cs="Arial"/>
          <w:iCs/>
          <w:sz w:val="22"/>
          <w:szCs w:val="22"/>
          <w:lang w:val="es-SV"/>
        </w:rPr>
        <w:t>, básicamente por el incremento del subsidio al gas licuado</w:t>
      </w:r>
      <w:r w:rsidR="00F00D19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. </w:t>
      </w:r>
    </w:p>
    <w:p w14:paraId="55F436EB" w14:textId="77777777" w:rsidR="003D01C6" w:rsidRPr="00D62284" w:rsidRDefault="003D01C6" w:rsidP="00844663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4EBBF66" w14:textId="77777777" w:rsidR="0085051F" w:rsidRDefault="0085051F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331A605B" w14:textId="77777777" w:rsidR="002A6987" w:rsidRDefault="002A6987">
      <w:pPr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br w:type="page"/>
      </w:r>
    </w:p>
    <w:p w14:paraId="15EF54A9" w14:textId="77777777" w:rsidR="009D780D" w:rsidRPr="00AF271F" w:rsidRDefault="009D780D" w:rsidP="00386BC0">
      <w:pPr>
        <w:jc w:val="center"/>
        <w:rPr>
          <w:rFonts w:ascii="Museo Sans 300" w:hAnsi="Museo Sans 300"/>
          <w:color w:val="FF0000"/>
          <w:sz w:val="22"/>
          <w:szCs w:val="22"/>
          <w:highlight w:val="yellow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lastRenderedPageBreak/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Subsidios a servicios básicos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de 20</w:t>
      </w:r>
      <w:r w:rsidR="00151722" w:rsidRPr="00D62284">
        <w:rPr>
          <w:rFonts w:ascii="Museo Sans 300" w:hAnsi="Museo Sans 300"/>
          <w:sz w:val="22"/>
          <w:szCs w:val="22"/>
          <w:lang w:val="es-MX"/>
        </w:rPr>
        <w:t>14</w:t>
      </w:r>
      <w:r w:rsidRPr="00D62284">
        <w:rPr>
          <w:rFonts w:ascii="Museo Sans 300" w:hAnsi="Museo Sans 300"/>
          <w:sz w:val="22"/>
          <w:szCs w:val="22"/>
          <w:lang w:val="es-MX"/>
        </w:rPr>
        <w:t>-</w:t>
      </w:r>
      <w:r w:rsidR="00042C94" w:rsidRPr="00D62284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D62284">
        <w:rPr>
          <w:rFonts w:ascii="Museo Sans 300" w:hAnsi="Museo Sans 300"/>
          <w:sz w:val="22"/>
          <w:szCs w:val="22"/>
          <w:lang w:val="es-MX"/>
        </w:rPr>
        <w:t>2</w:t>
      </w:r>
      <w:r w:rsidR="008668D1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198F8374" w14:textId="77777777" w:rsidR="00547C08" w:rsidRPr="00D62284" w:rsidRDefault="00547C0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31B2CB7D" w14:textId="77777777" w:rsidR="00AF3BC8" w:rsidRPr="00D62284" w:rsidRDefault="00D94D5D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94D5D">
        <w:rPr>
          <w:noProof/>
        </w:rPr>
        <w:drawing>
          <wp:inline distT="0" distB="0" distL="0" distR="0" wp14:anchorId="662B6BD8" wp14:editId="2AD520E6">
            <wp:extent cx="4986329" cy="2898312"/>
            <wp:effectExtent l="0" t="0" r="508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986" cy="289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545CA" w14:textId="77777777" w:rsidR="00DB11D8" w:rsidRPr="00D17CD6" w:rsidRDefault="00197782" w:rsidP="001902A4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SV"/>
        </w:rPr>
      </w:pPr>
      <w:r w:rsidRPr="00D17CD6">
        <w:rPr>
          <w:rFonts w:ascii="Museo Sans 300" w:hAnsi="Museo Sans 300" w:cs="Arial"/>
          <w:iCs/>
          <w:sz w:val="18"/>
          <w:szCs w:val="18"/>
          <w:lang w:val="es-SV"/>
        </w:rPr>
        <w:t xml:space="preserve">              Fuente: DGT</w:t>
      </w:r>
    </w:p>
    <w:p w14:paraId="1DC325E2" w14:textId="77777777" w:rsidR="0085051F" w:rsidRPr="00593265" w:rsidRDefault="0085051F" w:rsidP="001902A4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14:paraId="62911E39" w14:textId="77777777" w:rsidR="00080BF7" w:rsidRDefault="00C64A77" w:rsidP="00CC3974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 el siguiente cuadro se detalla la distribución de los subsidios, así: $</w:t>
      </w:r>
      <w:r w:rsidR="00554E0F" w:rsidRPr="00D62284">
        <w:rPr>
          <w:rFonts w:ascii="Museo Sans 300" w:hAnsi="Museo Sans 300" w:cs="Arial"/>
          <w:iCs/>
          <w:sz w:val="22"/>
          <w:szCs w:val="22"/>
          <w:lang w:val="es-SV"/>
        </w:rPr>
        <w:t>1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58.4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gas licuado</w:t>
      </w:r>
      <w:r w:rsidR="00CC3974">
        <w:rPr>
          <w:rFonts w:ascii="Museo Sans 300" w:hAnsi="Museo Sans 300" w:cs="Arial"/>
          <w:iCs/>
          <w:sz w:val="22"/>
          <w:szCs w:val="22"/>
          <w:lang w:val="es-SV"/>
        </w:rPr>
        <w:t xml:space="preserve"> con un incremento de $52.9 millones, </w:t>
      </w:r>
      <w:r w:rsidR="00421E11">
        <w:rPr>
          <w:rFonts w:ascii="Museo Sans 300" w:hAnsi="Museo Sans 300" w:cs="Arial"/>
          <w:iCs/>
          <w:sz w:val="22"/>
          <w:szCs w:val="22"/>
          <w:lang w:val="es-SV"/>
        </w:rPr>
        <w:t xml:space="preserve">dicho incremento </w:t>
      </w:r>
      <w:r w:rsidR="00421E11" w:rsidRPr="0076276A">
        <w:rPr>
          <w:rFonts w:ascii="Museo Sans 300" w:hAnsi="Museo Sans 300" w:cs="Arial"/>
          <w:iCs/>
          <w:sz w:val="22"/>
          <w:szCs w:val="22"/>
          <w:lang w:val="es-SV"/>
        </w:rPr>
        <w:t xml:space="preserve">obedeció a las medidas implementadas por el gobierno </w:t>
      </w:r>
      <w:r w:rsidR="00CC3974">
        <w:rPr>
          <w:rFonts w:ascii="Museo Sans 300" w:hAnsi="Museo Sans 300" w:cs="Arial"/>
          <w:iCs/>
          <w:sz w:val="22"/>
          <w:szCs w:val="22"/>
          <w:lang w:val="es-SV"/>
        </w:rPr>
        <w:t xml:space="preserve">para alivio a la economía familiar </w:t>
      </w:r>
      <w:r w:rsidR="0075008C">
        <w:rPr>
          <w:rFonts w:ascii="Museo Sans 300" w:hAnsi="Museo Sans 300" w:cs="Arial"/>
          <w:iCs/>
          <w:sz w:val="22"/>
          <w:szCs w:val="22"/>
          <w:lang w:val="es-SV"/>
        </w:rPr>
        <w:t>y</w:t>
      </w:r>
      <w:r w:rsidR="00CC3974">
        <w:rPr>
          <w:rFonts w:ascii="Museo Sans 300" w:hAnsi="Museo Sans 300" w:cs="Arial"/>
          <w:iCs/>
          <w:sz w:val="22"/>
          <w:szCs w:val="22"/>
          <w:lang w:val="es-SV"/>
        </w:rPr>
        <w:t xml:space="preserve"> contrarrestar los efectos de la inflación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; energía eléctrica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59.3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y transporte</w:t>
      </w:r>
      <w:r w:rsidR="00771A84" w:rsidRPr="00D62284">
        <w:rPr>
          <w:rFonts w:ascii="Museo Sans 300" w:hAnsi="Museo Sans 300" w:cs="Arial"/>
          <w:iCs/>
          <w:sz w:val="22"/>
          <w:szCs w:val="22"/>
          <w:lang w:val="es-SV"/>
        </w:rPr>
        <w:t>,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3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SV"/>
        </w:rPr>
        <w:t>6.1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millones. En lo que se refiere a las devoluciones de impuestos, éstas registran un monto de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77.5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millones, de las que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32.9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corresponden a Devolución de IVA y $ 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44.6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devoluciones de </w:t>
      </w:r>
      <w:r w:rsidR="00926789" w:rsidRPr="00D62284">
        <w:rPr>
          <w:rFonts w:ascii="Museo Sans 300" w:hAnsi="Museo Sans 300" w:cs="Arial"/>
          <w:iCs/>
          <w:sz w:val="22"/>
          <w:szCs w:val="22"/>
          <w:lang w:val="es-SV"/>
        </w:rPr>
        <w:t>I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>mpuesto sobre la R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enta. El total de devoluciones fue mayor en $</w:t>
      </w:r>
      <w:r w:rsidR="00425166" w:rsidRPr="00D62284">
        <w:rPr>
          <w:rFonts w:ascii="Museo Sans 300" w:hAnsi="Museo Sans 300" w:cs="Arial"/>
          <w:iCs/>
          <w:sz w:val="22"/>
          <w:szCs w:val="22"/>
          <w:lang w:val="es-SV"/>
        </w:rPr>
        <w:t>19.6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millones a las registradas 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al mismo período del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año anterior.</w:t>
      </w:r>
      <w:r w:rsidR="0085051F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</w:p>
    <w:p w14:paraId="744169B7" w14:textId="77777777" w:rsidR="00CC3974" w:rsidRPr="000B1666" w:rsidRDefault="00CC3974" w:rsidP="00CC3974">
      <w:pPr>
        <w:pStyle w:val="Textoindependiente2"/>
        <w:spacing w:after="0" w:line="240" w:lineRule="auto"/>
        <w:ind w:right="-32"/>
        <w:jc w:val="both"/>
        <w:rPr>
          <w:rFonts w:ascii="Museo Sans 300" w:hAnsi="Museo Sans 300"/>
          <w:b/>
          <w:sz w:val="16"/>
          <w:szCs w:val="16"/>
          <w:lang w:val="es-SV"/>
        </w:rPr>
      </w:pPr>
    </w:p>
    <w:p w14:paraId="0C8178BC" w14:textId="77777777" w:rsidR="00E75292" w:rsidRPr="00D62284" w:rsidRDefault="007322E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T</w:t>
      </w:r>
      <w:r w:rsidR="004F29B4" w:rsidRPr="00D62284">
        <w:rPr>
          <w:rFonts w:ascii="Museo Sans 300" w:hAnsi="Museo Sans 300"/>
          <w:b/>
          <w:sz w:val="22"/>
          <w:szCs w:val="22"/>
          <w:lang w:val="es-MX"/>
        </w:rPr>
        <w:t xml:space="preserve">abla No. </w:t>
      </w:r>
      <w:r w:rsidR="006B57E8"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F14F4B" w:rsidRPr="00D62284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Subsidios y Devoluciones de </w:t>
      </w:r>
      <w:r w:rsidR="00546F81" w:rsidRPr="00D62284">
        <w:rPr>
          <w:rFonts w:ascii="Museo Sans 300" w:hAnsi="Museo Sans 300"/>
          <w:b/>
          <w:sz w:val="22"/>
          <w:szCs w:val="22"/>
          <w:lang w:val="es-MX"/>
        </w:rPr>
        <w:t>Impuestos a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 de 20</w:t>
      </w:r>
      <w:r w:rsidR="00072BB0" w:rsidRPr="00D62284">
        <w:rPr>
          <w:rFonts w:ascii="Museo Sans 300" w:hAnsi="Museo Sans 300"/>
          <w:b/>
          <w:sz w:val="22"/>
          <w:szCs w:val="22"/>
          <w:lang w:val="es-MX"/>
        </w:rPr>
        <w:t>1</w:t>
      </w:r>
      <w:r w:rsidR="00C6426B">
        <w:rPr>
          <w:rFonts w:ascii="Museo Sans 300" w:hAnsi="Museo Sans 300"/>
          <w:b/>
          <w:sz w:val="22"/>
          <w:szCs w:val="22"/>
          <w:lang w:val="es-MX"/>
        </w:rPr>
        <w:t>6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 -20</w:t>
      </w:r>
      <w:r w:rsidR="00072BB0" w:rsidRPr="00D62284">
        <w:rPr>
          <w:rFonts w:ascii="Museo Sans 300" w:hAnsi="Museo Sans 300"/>
          <w:b/>
          <w:sz w:val="22"/>
          <w:szCs w:val="22"/>
          <w:lang w:val="es-MX"/>
        </w:rPr>
        <w:t>2</w:t>
      </w:r>
      <w:r w:rsidR="003D01C6" w:rsidRPr="00D62284">
        <w:rPr>
          <w:rFonts w:ascii="Museo Sans 300" w:hAnsi="Museo Sans 300"/>
          <w:b/>
          <w:sz w:val="22"/>
          <w:szCs w:val="22"/>
          <w:lang w:val="es-MX"/>
        </w:rPr>
        <w:t>2</w:t>
      </w:r>
    </w:p>
    <w:p w14:paraId="5E018376" w14:textId="77777777" w:rsidR="00123067" w:rsidRPr="00D62284" w:rsidRDefault="00E75292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Millones de $</w:t>
      </w:r>
    </w:p>
    <w:p w14:paraId="7B1D246C" w14:textId="77777777" w:rsidR="00123067" w:rsidRPr="000B1666" w:rsidRDefault="00123067" w:rsidP="00E75292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</w:p>
    <w:p w14:paraId="280B4C48" w14:textId="77777777" w:rsidR="00E75292" w:rsidRPr="00D62284" w:rsidRDefault="00BF0C36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4D5BF2D1" wp14:editId="5B7F1EE8">
            <wp:extent cx="5766306" cy="2924432"/>
            <wp:effectExtent l="0" t="0" r="635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024" cy="297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A222C" w14:textId="77777777" w:rsidR="00BE54F5" w:rsidRPr="00D62284" w:rsidRDefault="00D6012E" w:rsidP="00757972">
      <w:pPr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br w:type="page"/>
      </w:r>
      <w:bookmarkStart w:id="56" w:name="_Toc411843466"/>
      <w:bookmarkStart w:id="57" w:name="_Toc56581212"/>
      <w:r w:rsidR="00757972"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>2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>.2</w:t>
      </w:r>
      <w:r w:rsidR="00442DE5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Gasto de capital</w:t>
      </w:r>
      <w:bookmarkEnd w:id="56"/>
      <w:bookmarkEnd w:id="57"/>
    </w:p>
    <w:p w14:paraId="6C7DDEC7" w14:textId="77777777" w:rsidR="00BE54F5" w:rsidRPr="00D62284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3D86E9B" w14:textId="77777777" w:rsidR="0018549A" w:rsidRDefault="00BF7266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bookmarkStart w:id="58" w:name="_Hlk128489614"/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Los gastos de capital del SPNF al mes de </w:t>
      </w:r>
      <w:r w:rsidR="00712719" w:rsidRPr="00D62284">
        <w:rPr>
          <w:rFonts w:ascii="Museo Sans 300" w:hAnsi="Museo Sans 300" w:cs="Arial"/>
          <w:iCs/>
          <w:sz w:val="22"/>
          <w:szCs w:val="22"/>
          <w:lang w:val="es-419"/>
        </w:rPr>
        <w:t>diciembre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de 2022 alcanzaron un monto de $</w:t>
      </w:r>
      <w:r w:rsidR="00993DB6" w:rsidRPr="00D62284">
        <w:rPr>
          <w:rFonts w:ascii="Museo Sans 300" w:hAnsi="Museo Sans 300" w:cs="Arial"/>
          <w:iCs/>
          <w:sz w:val="22"/>
          <w:szCs w:val="22"/>
          <w:lang w:val="es-419"/>
        </w:rPr>
        <w:t>861</w:t>
      </w:r>
      <w:r w:rsidR="00447D60" w:rsidRPr="00D62284">
        <w:rPr>
          <w:rFonts w:ascii="Museo Sans 300" w:hAnsi="Museo Sans 300" w:cs="Arial"/>
          <w:iCs/>
          <w:sz w:val="22"/>
          <w:szCs w:val="22"/>
          <w:lang w:val="es-419"/>
        </w:rPr>
        <w:t>.6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experimentando un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a disminución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447D60" w:rsidRPr="00D62284">
        <w:rPr>
          <w:rFonts w:ascii="Museo Sans 300" w:hAnsi="Museo Sans 300" w:cs="Arial"/>
          <w:iCs/>
          <w:sz w:val="22"/>
          <w:szCs w:val="22"/>
          <w:lang w:val="es-419"/>
        </w:rPr>
        <w:t>12.6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% con respecto a 2021, producto</w:t>
      </w:r>
      <w:r w:rsidR="00A517F2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7F2997">
        <w:rPr>
          <w:rFonts w:ascii="Museo Sans 300" w:hAnsi="Museo Sans 300" w:cs="Arial"/>
          <w:iCs/>
          <w:sz w:val="22"/>
          <w:szCs w:val="22"/>
          <w:lang w:val="es-419"/>
        </w:rPr>
        <w:t xml:space="preserve">un efecto combinado de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una reducción en la inversión pública y un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incremento en las transferencias de capital, </w:t>
      </w:r>
      <w:r w:rsidR="00CC3974">
        <w:rPr>
          <w:rFonts w:ascii="Museo Sans 300" w:hAnsi="Museo Sans 300" w:cs="Arial"/>
          <w:iCs/>
          <w:sz w:val="22"/>
          <w:szCs w:val="22"/>
          <w:lang w:val="es-419"/>
        </w:rPr>
        <w:t xml:space="preserve">donde </w:t>
      </w:r>
      <w:r w:rsidR="009446B5" w:rsidRPr="0076276A">
        <w:rPr>
          <w:rFonts w:ascii="Museo Sans 300" w:hAnsi="Museo Sans 300" w:cs="Arial"/>
          <w:iCs/>
          <w:sz w:val="22"/>
          <w:szCs w:val="22"/>
          <w:lang w:val="es-419"/>
        </w:rPr>
        <w:t xml:space="preserve">se </w:t>
      </w:r>
      <w:r w:rsidR="00CC3974">
        <w:rPr>
          <w:rFonts w:ascii="Museo Sans 300" w:hAnsi="Museo Sans 300" w:cs="Arial"/>
          <w:iCs/>
          <w:sz w:val="22"/>
          <w:szCs w:val="22"/>
          <w:lang w:val="es-419"/>
        </w:rPr>
        <w:t xml:space="preserve">destacan </w:t>
      </w:r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las realizadas al Ramo de Educación destinada a la educación </w:t>
      </w:r>
      <w:proofErr w:type="spellStart"/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>parvularia</w:t>
      </w:r>
      <w:proofErr w:type="spellEnd"/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, media y básica y </w:t>
      </w:r>
      <w:r w:rsidR="007F2997">
        <w:rPr>
          <w:rFonts w:ascii="Museo Sans 300" w:hAnsi="Museo Sans 300" w:cs="Arial"/>
          <w:iCs/>
          <w:sz w:val="22"/>
          <w:szCs w:val="22"/>
          <w:lang w:val="es-419"/>
        </w:rPr>
        <w:t xml:space="preserve">algunos </w:t>
      </w:r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proyectos del Ministerio de Agricultura y Ganadería, encaminados a la seguridad alimentaria. </w:t>
      </w:r>
      <w:r w:rsidR="00B82AF7" w:rsidRPr="00D62284">
        <w:rPr>
          <w:rFonts w:ascii="Museo Sans 300" w:hAnsi="Museo Sans 300" w:cs="Arial"/>
          <w:iCs/>
          <w:sz w:val="22"/>
          <w:szCs w:val="22"/>
          <w:lang w:val="es-419"/>
        </w:rPr>
        <w:t>Por su parte, l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a Inversión Pública del SPNF alcanzó un valor de $</w:t>
      </w:r>
      <w:r w:rsidR="00447D60" w:rsidRPr="00D62284">
        <w:rPr>
          <w:rFonts w:ascii="Museo Sans 300" w:hAnsi="Museo Sans 300" w:cs="Arial"/>
          <w:iCs/>
          <w:sz w:val="22"/>
          <w:szCs w:val="22"/>
          <w:lang w:val="es-419"/>
        </w:rPr>
        <w:t>691.2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millones; representando un </w:t>
      </w:r>
      <w:r w:rsidR="00447D60" w:rsidRPr="00D62284">
        <w:rPr>
          <w:rFonts w:ascii="Museo Sans 300" w:hAnsi="Museo Sans 300" w:cs="Arial"/>
          <w:iCs/>
          <w:sz w:val="22"/>
          <w:szCs w:val="22"/>
          <w:lang w:val="es-419"/>
        </w:rPr>
        <w:t>2.2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% del PIB</w:t>
      </w:r>
      <w:bookmarkEnd w:id="58"/>
    </w:p>
    <w:p w14:paraId="111802F5" w14:textId="77777777" w:rsidR="0076276A" w:rsidRPr="0076276A" w:rsidRDefault="0076276A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/>
          <w:iCs/>
          <w:sz w:val="22"/>
          <w:szCs w:val="22"/>
          <w:lang w:val="es-419"/>
        </w:rPr>
      </w:pPr>
    </w:p>
    <w:p w14:paraId="613631E4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Entre los programas y proyectos con mayores avances al mes de diciembre 2022 se destacan los siguientes:</w:t>
      </w:r>
    </w:p>
    <w:p w14:paraId="7724DD34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5C470AE0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CEL: Proyecto Hidroeléctrico el Chaparral. </w:t>
      </w:r>
    </w:p>
    <w:p w14:paraId="2C791E4D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3D8C2B2B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CEPA: Ampliación del Patio de Contenedores del Puerto de Acajutla, Etapa II, Ampliación de Terminal de Pasajeros del Aeropuerto Internacional de El Salvador, Monseñor Oscar Arnulfo Romero y Galdámez.</w:t>
      </w:r>
    </w:p>
    <w:p w14:paraId="4560D721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</w:p>
    <w:p w14:paraId="2F29E3E8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MINSAL: Programa de Respuesta de El Salvador ante el COVID-19, Programa Integrado de Salud II, Programa de Respuesta de Salud Pública para contener y controlar el Coronavirus y mitigar su efecto en El Salvador, Mejoramiento de Infraestructura y equipamiento de Unidades de Salud de Primer Nivel, a nivel nacional, Mejoramiento de Infraestructura y equipamiento de la Red Nacional de Hospitales. Programa Creciendo Saludables Juntos: Desarrollo Integral de la Primera Infancia en El Salvador</w:t>
      </w:r>
    </w:p>
    <w:p w14:paraId="751909BA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5C972B97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ANDA: Rehabilitación de las Obras de captación, potabilización y electromecánicas de la planta potabilizadora Las Pavas, Municipio de San Pablo</w:t>
      </w:r>
      <w:r w:rsidR="009446B5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proofErr w:type="spellStart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Tacachico</w:t>
      </w:r>
      <w:proofErr w:type="spellEnd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, Departamento de La Libertad, Programa de mejora de infraestructura y servicios, para optimizar el suministro de agua potable, a nivel nacional. </w:t>
      </w:r>
    </w:p>
    <w:p w14:paraId="2E7025FC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1F6DFE21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MINEDUCYT: Programa de mejoramiento de ambientes educativos para la formación integral y aprendizajes, a nivel nacional, Programa de Reducción de Brecha Digital en Centros Escolares de El Salvador, Programa de Becas FANTEL a nivel nacional, para realizar estudios de Educación Superior, 2018-2022. Programa de equipamiento y capacitación docente en tecnología e innovación al servicio de los aprendizajes, a nivel nacional 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ab/>
      </w:r>
    </w:p>
    <w:p w14:paraId="59BAF9B3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750A2D54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MOPT: Construcción de </w:t>
      </w:r>
      <w:proofErr w:type="spellStart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By</w:t>
      </w:r>
      <w:proofErr w:type="spellEnd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Pass en la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C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iudad de San Miguel, Construcción de </w:t>
      </w:r>
      <w:proofErr w:type="spellStart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By</w:t>
      </w:r>
      <w:proofErr w:type="spellEnd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Pass entre Carretera a Sonsonate y Carretera a Santa Ana (CA01W - CA08W), municipios de Colón, Ciudad Arce y </w:t>
      </w:r>
      <w:proofErr w:type="spellStart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Sacacoyo</w:t>
      </w:r>
      <w:proofErr w:type="spellEnd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La Libertad. (MOPT-FGEN), Reconstrucción de descarga de aguas lluvias del sistema denominado: Valle Nuevo, Comunidad Belén,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unicipio de Ilopango,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Modernización integral del Puesto Fronterizo de </w:t>
      </w:r>
      <w:proofErr w:type="spellStart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Anguiatú</w:t>
      </w:r>
      <w:proofErr w:type="spellEnd"/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unicipio de Metapán,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epartamento de Santa Ana. (MOPT-FGEN).</w:t>
      </w:r>
    </w:p>
    <w:p w14:paraId="2279DF89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38815387" w14:textId="77777777" w:rsidR="0018549A" w:rsidRPr="0018549A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INDES: Mejoramiento del Estadio Nacional Jorge Mágico González, San Salvador, Mejoramiento del Gimnasio Nacional </w:t>
      </w:r>
      <w:r w:rsidR="000526E2" w:rsidRPr="0018549A">
        <w:rPr>
          <w:rFonts w:ascii="Museo Sans 300" w:hAnsi="Museo Sans 300" w:cs="Arial"/>
          <w:iCs/>
          <w:sz w:val="22"/>
          <w:szCs w:val="22"/>
          <w:lang w:val="es-419"/>
        </w:rPr>
        <w:t>José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Adolfo Pineda,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Mejoramiento de Complejo Deportivo El Polvorín,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Remodelación y equipamiento de Complejo Deportivo de Ciudad Merliot, </w:t>
      </w:r>
      <w:r w:rsidR="000526E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La Libertad, Fortalecimiento Institucional para el desarrollo de los Juegos Centroamericanos y del 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lastRenderedPageBreak/>
        <w:t>Caribe San Salvador 2023. Asimismo, la inversión en el campus central de la Universidad de El Salvador (UES), que será la Villa Olímpica de los próximos Juegos Centroamericanos y del Caribe.</w:t>
      </w:r>
    </w:p>
    <w:p w14:paraId="546E23D4" w14:textId="77777777" w:rsidR="0018549A" w:rsidRPr="0018549A" w:rsidRDefault="0018549A" w:rsidP="0018549A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A nivel de subsectores, el Gobierno Central Consolidado ejecutó el 70.3% ($486.0 millones) del total, Resto del Gobierno General 8.4 % ($57.8 millones) y las Empresas Públicas ejecutaron un 21.3% ($147.4 millones) del total.</w:t>
      </w:r>
    </w:p>
    <w:p w14:paraId="2061684A" w14:textId="77777777" w:rsidR="0018549A" w:rsidRPr="0018549A" w:rsidRDefault="0018549A" w:rsidP="006059B0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highlight w:val="yellow"/>
        </w:rPr>
      </w:pPr>
    </w:p>
    <w:p w14:paraId="53EAA46A" w14:textId="77777777" w:rsidR="000B7219" w:rsidRPr="00D62284" w:rsidRDefault="00843EEE" w:rsidP="00051DD1">
      <w:pPr>
        <w:spacing w:before="240" w:after="240"/>
        <w:contextualSpacing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.</w:t>
      </w:r>
      <w:r w:rsidR="007628C0"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7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: Inversión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>Pública a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861E9B" w:rsidRPr="00D62284">
        <w:rPr>
          <w:rFonts w:ascii="Museo Sans 300" w:hAnsi="Museo Sans 300"/>
          <w:sz w:val="22"/>
          <w:szCs w:val="22"/>
          <w:lang w:val="es-MX"/>
        </w:rPr>
        <w:t>14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>-</w:t>
      </w:r>
      <w:r w:rsidR="00042C94" w:rsidRPr="00D62284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D62284">
        <w:rPr>
          <w:rFonts w:ascii="Museo Sans 300" w:hAnsi="Museo Sans 300"/>
          <w:sz w:val="22"/>
          <w:szCs w:val="22"/>
          <w:lang w:val="es-MX"/>
        </w:rPr>
        <w:t>2</w:t>
      </w:r>
    </w:p>
    <w:p w14:paraId="6BB265ED" w14:textId="77777777" w:rsidR="0012688D" w:rsidRPr="00D62284" w:rsidRDefault="0012688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35FD12C2" w14:textId="77777777" w:rsidR="003D01C6" w:rsidRPr="00D62284" w:rsidRDefault="00412B12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12B12">
        <w:rPr>
          <w:noProof/>
        </w:rPr>
        <w:drawing>
          <wp:inline distT="0" distB="0" distL="0" distR="0" wp14:anchorId="36D18219" wp14:editId="1E78CE6D">
            <wp:extent cx="5038666" cy="301964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220" cy="303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786A" w14:textId="77777777" w:rsidR="003E7EAD" w:rsidRPr="00D62284" w:rsidRDefault="003E7EA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AA94F7A" w14:textId="77777777" w:rsidR="00201628" w:rsidRPr="00D62284" w:rsidRDefault="00201628" w:rsidP="00080BF7">
      <w:pPr>
        <w:ind w:right="-32"/>
        <w:jc w:val="both"/>
        <w:rPr>
          <w:rFonts w:ascii="Museo Sans 300" w:hAnsi="Museo Sans 300" w:cs="Arial"/>
          <w:iCs/>
          <w:sz w:val="22"/>
          <w:szCs w:val="22"/>
        </w:rPr>
      </w:pPr>
    </w:p>
    <w:p w14:paraId="2C5AD469" w14:textId="77777777" w:rsidR="00AB5AA8" w:rsidRPr="00D62284" w:rsidRDefault="00AB5AA8" w:rsidP="00AB5AA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Por sectores de actividad, la inversión en el sector Desarrollo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 xml:space="preserve">Económico </w:t>
      </w:r>
      <w:r w:rsidRPr="00D62284">
        <w:rPr>
          <w:rFonts w:ascii="Museo Sans 300" w:hAnsi="Museo Sans 300"/>
          <w:sz w:val="22"/>
          <w:szCs w:val="22"/>
          <w:lang w:val="es-MX"/>
        </w:rPr>
        <w:t>ejecutó un total de 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207.9</w:t>
      </w:r>
      <w:r w:rsidR="00AB3647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millones, con una participación de 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30.1</w:t>
      </w:r>
      <w:r w:rsidRPr="00D62284">
        <w:rPr>
          <w:rFonts w:ascii="Museo Sans 300" w:hAnsi="Museo Sans 300"/>
          <w:sz w:val="22"/>
          <w:szCs w:val="22"/>
          <w:lang w:val="es-MX"/>
        </w:rPr>
        <w:t>% de la inversión total, destacando los recursos destinados al subsector de Transporte y Almacenaje ($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91.8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con una participación del </w:t>
      </w:r>
      <w:r w:rsidR="004B4137" w:rsidRPr="00D62284">
        <w:rPr>
          <w:rFonts w:ascii="Museo Sans 300" w:hAnsi="Museo Sans 300"/>
          <w:sz w:val="22"/>
          <w:szCs w:val="22"/>
          <w:lang w:val="es-MX"/>
        </w:rPr>
        <w:t>1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3.3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>%</w:t>
      </w:r>
      <w:r w:rsidRPr="00D62284">
        <w:rPr>
          <w:rFonts w:ascii="Museo Sans 300" w:hAnsi="Museo Sans 300"/>
          <w:sz w:val="22"/>
          <w:szCs w:val="22"/>
          <w:lang w:val="es-MX"/>
        </w:rPr>
        <w:t>)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y el sector de energía</w:t>
      </w:r>
      <w:r w:rsidR="00FB353F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($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106.8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 del </w:t>
      </w:r>
      <w:r w:rsidR="004B4137" w:rsidRPr="00D62284">
        <w:rPr>
          <w:rFonts w:ascii="Museo Sans 300" w:hAnsi="Museo Sans 300"/>
          <w:sz w:val="22"/>
          <w:szCs w:val="22"/>
          <w:lang w:val="es-MX"/>
        </w:rPr>
        <w:t>1</w:t>
      </w:r>
      <w:r w:rsidR="008F34B0" w:rsidRPr="00D62284">
        <w:rPr>
          <w:rFonts w:ascii="Museo Sans 300" w:hAnsi="Museo Sans 300"/>
          <w:sz w:val="22"/>
          <w:szCs w:val="22"/>
          <w:lang w:val="es-MX"/>
        </w:rPr>
        <w:t>5.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4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%)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entre otros, tal como se muestra en la tabla No. 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339398DC" w14:textId="77777777" w:rsidR="00E52CBD" w:rsidRPr="00D62284" w:rsidRDefault="00E52CB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05C0C29" w14:textId="77777777" w:rsidR="00231F0C" w:rsidRPr="00D62284" w:rsidRDefault="005327AE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Asimismo, la inversión para el Desarrollo Social ascendió a 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468.1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con una participación del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6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7.7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en la inversión total, destacándose las obras </w:t>
      </w:r>
      <w:r w:rsidR="004B4137" w:rsidRPr="00D62284">
        <w:rPr>
          <w:rFonts w:ascii="Museo Sans 300" w:hAnsi="Museo Sans 300"/>
          <w:sz w:val="22"/>
          <w:szCs w:val="22"/>
          <w:lang w:val="es-MX"/>
        </w:rPr>
        <w:t>salud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C67E88" w:rsidRPr="00D62284">
        <w:rPr>
          <w:rFonts w:ascii="Museo Sans 300" w:hAnsi="Museo Sans 300"/>
          <w:sz w:val="22"/>
          <w:szCs w:val="22"/>
          <w:lang w:val="es-MX"/>
        </w:rPr>
        <w:t>con 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125.2</w:t>
      </w:r>
      <w:r w:rsidR="00C67E88"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 de 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18.1</w:t>
      </w:r>
      <w:r w:rsidR="00C67E88" w:rsidRPr="00D62284">
        <w:rPr>
          <w:rFonts w:ascii="Museo Sans 300" w:hAnsi="Museo Sans 300"/>
          <w:sz w:val="22"/>
          <w:szCs w:val="22"/>
          <w:lang w:val="es-MX"/>
        </w:rPr>
        <w:t>%</w:t>
      </w:r>
      <w:r w:rsidR="00A41536" w:rsidRPr="00D62284">
        <w:rPr>
          <w:rFonts w:ascii="Museo Sans 300" w:hAnsi="Museo Sans 300"/>
          <w:sz w:val="22"/>
          <w:szCs w:val="22"/>
          <w:lang w:val="es-MX"/>
        </w:rPr>
        <w:t xml:space="preserve"> del total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;</w:t>
      </w:r>
      <w:r w:rsidR="008F34B0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Educación y Cultura $</w:t>
      </w:r>
      <w:r w:rsidR="008F34B0" w:rsidRPr="00D62284">
        <w:rPr>
          <w:rFonts w:ascii="Museo Sans 300" w:hAnsi="Museo Sans 300"/>
          <w:sz w:val="22"/>
          <w:szCs w:val="22"/>
          <w:lang w:val="es-MX"/>
        </w:rPr>
        <w:t>1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39.1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</w:t>
      </w:r>
      <w:r w:rsidR="00036F93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40E05" w:rsidRPr="00D62284">
        <w:rPr>
          <w:rFonts w:ascii="Museo Sans 300" w:hAnsi="Museo Sans 300"/>
          <w:sz w:val="22"/>
          <w:szCs w:val="22"/>
          <w:lang w:val="es-MX"/>
        </w:rPr>
        <w:t xml:space="preserve">de </w:t>
      </w:r>
      <w:r w:rsidR="008F34B0" w:rsidRPr="00D62284">
        <w:rPr>
          <w:rFonts w:ascii="Museo Sans 300" w:hAnsi="Museo Sans 300"/>
          <w:sz w:val="22"/>
          <w:szCs w:val="22"/>
          <w:lang w:val="es-MX"/>
        </w:rPr>
        <w:t>2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0.1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%; y Desarrollo Urbano y Comunal </w:t>
      </w:r>
      <w:r w:rsidR="00240E05" w:rsidRPr="00D62284">
        <w:rPr>
          <w:rFonts w:ascii="Museo Sans 300" w:hAnsi="Museo Sans 300"/>
          <w:sz w:val="22"/>
          <w:szCs w:val="22"/>
          <w:lang w:val="es-MX"/>
        </w:rPr>
        <w:t xml:space="preserve">con 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$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122.1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 millones, equiv</w:t>
      </w:r>
      <w:r w:rsidR="00B914BA" w:rsidRPr="00D62284">
        <w:rPr>
          <w:rFonts w:ascii="Museo Sans 300" w:hAnsi="Museo Sans 300"/>
          <w:sz w:val="22"/>
          <w:szCs w:val="22"/>
          <w:lang w:val="es-MX"/>
        </w:rPr>
        <w:t>a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lente a 1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7.7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% del total,</w:t>
      </w:r>
      <w:r w:rsidR="00B914BA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entre otros.</w:t>
      </w:r>
      <w:r w:rsidR="00D912E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264B4B60" w14:textId="77777777" w:rsidR="009F0A52" w:rsidRPr="00D62284" w:rsidRDefault="009F0A52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1976A7B" w14:textId="77777777" w:rsidR="0005223C" w:rsidRDefault="0005223C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8DCCAE6" w14:textId="77777777" w:rsidR="00A31A29" w:rsidRDefault="00A31A29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960A7B4" w14:textId="77777777" w:rsidR="0076276A" w:rsidRDefault="0076276A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C0E8F8A" w14:textId="77777777" w:rsidR="0076276A" w:rsidRDefault="0076276A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5A5713C" w14:textId="77777777" w:rsidR="0076276A" w:rsidRDefault="0076276A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6F5C4F2" w14:textId="77777777" w:rsidR="0076276A" w:rsidRDefault="0076276A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D912998" w14:textId="77777777" w:rsidR="0076276A" w:rsidRDefault="0076276A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4F5701A" w14:textId="77777777" w:rsidR="00746985" w:rsidRPr="00D62284" w:rsidRDefault="00746985" w:rsidP="00231F0C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Tabla </w:t>
      </w:r>
      <w:r w:rsidR="006B57E8"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Inversión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P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ública por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ectores de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ctividad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</w:p>
    <w:p w14:paraId="36DA8504" w14:textId="77777777" w:rsidR="00746985" w:rsidRPr="00D62284" w:rsidRDefault="00746985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$ y % de Participación)</w:t>
      </w:r>
    </w:p>
    <w:p w14:paraId="782DAFAF" w14:textId="77777777" w:rsidR="005327AE" w:rsidRPr="00D62284" w:rsidRDefault="005327AE" w:rsidP="0074698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BB9C67C" w14:textId="77777777" w:rsidR="007D580D" w:rsidRPr="00D62284" w:rsidRDefault="001D56D3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1B94012B" wp14:editId="17FD92BC">
            <wp:extent cx="5042848" cy="4376389"/>
            <wp:effectExtent l="0" t="0" r="5715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45" cy="439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04AE7" w14:textId="77777777" w:rsidR="00746985" w:rsidRPr="00D62284" w:rsidRDefault="00746985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3346612D" w14:textId="77777777" w:rsidR="006059B0" w:rsidRPr="00D62284" w:rsidRDefault="006059B0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59" w:name="_Toc308681668"/>
    </w:p>
    <w:p w14:paraId="2E0ACC7F" w14:textId="77777777" w:rsidR="00121393" w:rsidRPr="00D62284" w:rsidRDefault="00AA7D08" w:rsidP="00033BDB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bookmarkStart w:id="60" w:name="_Toc505951457"/>
      <w:bookmarkStart w:id="61" w:name="_Toc56581213"/>
      <w:bookmarkStart w:id="62" w:name="_Toc116389139"/>
      <w:r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442DE5" w:rsidRPr="00D62284">
        <w:rPr>
          <w:rFonts w:ascii="Museo Sans 300" w:hAnsi="Museo Sans 300"/>
          <w:b/>
          <w:sz w:val="22"/>
          <w:szCs w:val="22"/>
          <w:lang w:val="es-MX"/>
        </w:rPr>
        <w:t>Deuda del SPNF</w:t>
      </w:r>
      <w:bookmarkEnd w:id="60"/>
      <w:bookmarkEnd w:id="61"/>
      <w:bookmarkEnd w:id="62"/>
      <w:r w:rsidR="00121393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14:paraId="6F53F31C" w14:textId="77777777" w:rsidR="00442DE5" w:rsidRPr="00D62284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2A26440" w14:textId="77777777" w:rsidR="00092055" w:rsidRPr="00D62284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63" w:name="_Hlk128489649"/>
      <w:bookmarkStart w:id="64" w:name="_Hlk121213031"/>
      <w:r w:rsidRPr="00D62284">
        <w:rPr>
          <w:rFonts w:ascii="Museo Sans 300" w:hAnsi="Museo Sans 300"/>
          <w:sz w:val="22"/>
          <w:szCs w:val="22"/>
          <w:lang w:val="es-MX"/>
        </w:rPr>
        <w:t xml:space="preserve">La deuda del SPNF sin incluir pensiones al mes de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06124F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42C94" w:rsidRPr="00D62284">
        <w:rPr>
          <w:rFonts w:ascii="Museo Sans 300" w:hAnsi="Museo Sans 300"/>
          <w:sz w:val="22"/>
          <w:szCs w:val="22"/>
          <w:lang w:val="es-MX"/>
        </w:rPr>
        <w:t>20</w:t>
      </w:r>
      <w:r w:rsidR="00420EE2" w:rsidRPr="00D62284">
        <w:rPr>
          <w:rFonts w:ascii="Museo Sans 300" w:hAnsi="Museo Sans 300"/>
          <w:sz w:val="22"/>
          <w:szCs w:val="22"/>
          <w:lang w:val="es-MX"/>
        </w:rPr>
        <w:t>2</w:t>
      </w:r>
      <w:r w:rsidR="00785F6B" w:rsidRPr="00D62284">
        <w:rPr>
          <w:rFonts w:ascii="Museo Sans 300" w:hAnsi="Museo Sans 300"/>
          <w:sz w:val="22"/>
          <w:szCs w:val="22"/>
          <w:lang w:val="es-MX"/>
        </w:rPr>
        <w:t>2</w:t>
      </w:r>
      <w:r w:rsidR="0006124F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ascendió a $</w:t>
      </w:r>
      <w:r w:rsidR="00EE128F" w:rsidRPr="00D62284">
        <w:rPr>
          <w:rFonts w:ascii="Museo Sans 300" w:hAnsi="Museo Sans 300"/>
          <w:sz w:val="22"/>
          <w:szCs w:val="22"/>
          <w:lang w:val="es-MX"/>
        </w:rPr>
        <w:t>1</w:t>
      </w:r>
      <w:r w:rsidR="00DA0991" w:rsidRPr="00D62284">
        <w:rPr>
          <w:rFonts w:ascii="Museo Sans 300" w:hAnsi="Museo Sans 300"/>
          <w:sz w:val="22"/>
          <w:szCs w:val="22"/>
          <w:lang w:val="es-MX"/>
        </w:rPr>
        <w:t>8,033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.</w:t>
      </w:r>
      <w:r w:rsidR="00E61CF3">
        <w:rPr>
          <w:rFonts w:ascii="Museo Sans 300" w:hAnsi="Museo Sans 300"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8758FC" w:rsidRPr="00D62284">
        <w:rPr>
          <w:rFonts w:ascii="Museo Sans 300" w:hAnsi="Museo Sans 300"/>
          <w:sz w:val="22"/>
          <w:szCs w:val="22"/>
          <w:lang w:val="es-MX"/>
        </w:rPr>
        <w:t>5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6.7</w:t>
      </w:r>
      <w:r w:rsidR="00EE128F" w:rsidRPr="00D62284">
        <w:rPr>
          <w:rFonts w:ascii="Museo Sans 300" w:hAnsi="Museo Sans 300"/>
          <w:sz w:val="22"/>
          <w:szCs w:val="22"/>
          <w:lang w:val="es-MX"/>
        </w:rPr>
        <w:t>%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del PIB. Dicho saldo está compuesto por $</w:t>
      </w:r>
      <w:r w:rsidR="00634117" w:rsidRPr="00D62284">
        <w:rPr>
          <w:rFonts w:ascii="Museo Sans 300" w:hAnsi="Museo Sans 300"/>
          <w:sz w:val="22"/>
          <w:szCs w:val="22"/>
          <w:lang w:val="es-MX"/>
        </w:rPr>
        <w:t>1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1,117.3</w:t>
      </w:r>
      <w:r w:rsidR="00600F2E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millones que corresponden a deuda externa, equivale</w:t>
      </w:r>
      <w:r w:rsidR="002A147C" w:rsidRPr="00D62284">
        <w:rPr>
          <w:rFonts w:ascii="Museo Sans 300" w:hAnsi="Museo Sans 300"/>
          <w:sz w:val="22"/>
          <w:szCs w:val="22"/>
          <w:lang w:val="es-MX"/>
        </w:rPr>
        <w:t>nte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a </w:t>
      </w:r>
      <w:r w:rsidR="008758FC" w:rsidRPr="00D62284">
        <w:rPr>
          <w:rFonts w:ascii="Museo Sans 300" w:hAnsi="Museo Sans 300"/>
          <w:sz w:val="22"/>
          <w:szCs w:val="22"/>
          <w:lang w:val="es-MX"/>
        </w:rPr>
        <w:t>3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4.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9</w:t>
      </w:r>
      <w:r w:rsidRPr="00D62284">
        <w:rPr>
          <w:rFonts w:ascii="Museo Sans 300" w:hAnsi="Museo Sans 300"/>
          <w:sz w:val="22"/>
          <w:szCs w:val="22"/>
          <w:lang w:val="es-MX"/>
        </w:rPr>
        <w:t>% del PIB y $</w:t>
      </w:r>
      <w:r w:rsidR="008758FC" w:rsidRPr="00D62284">
        <w:rPr>
          <w:rFonts w:ascii="Museo Sans 300" w:hAnsi="Museo Sans 300"/>
          <w:sz w:val="22"/>
          <w:szCs w:val="22"/>
          <w:lang w:val="es-MX"/>
        </w:rPr>
        <w:t>6,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915.9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correspondientes a deuda interna, representando el </w:t>
      </w:r>
      <w:r w:rsidR="00634117" w:rsidRPr="00D62284">
        <w:rPr>
          <w:rFonts w:ascii="Museo Sans 300" w:hAnsi="Museo Sans 300"/>
          <w:sz w:val="22"/>
          <w:szCs w:val="22"/>
          <w:lang w:val="es-MX"/>
        </w:rPr>
        <w:t>2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1.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7</w:t>
      </w:r>
      <w:r w:rsidRPr="00D62284">
        <w:rPr>
          <w:rFonts w:ascii="Museo Sans 300" w:hAnsi="Museo Sans 300"/>
          <w:sz w:val="22"/>
          <w:szCs w:val="22"/>
          <w:lang w:val="es-MX"/>
        </w:rPr>
        <w:t>% del PIB.</w:t>
      </w:r>
    </w:p>
    <w:p w14:paraId="2AEC8E18" w14:textId="77777777" w:rsidR="00092055" w:rsidRPr="00D62284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013F3F4" w14:textId="77777777" w:rsidR="00B13B06" w:rsidRPr="00D62284" w:rsidRDefault="006D36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Al incluir las emisiones del FOP (CIP serie A), por $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6,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202.2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</w:t>
      </w:r>
      <w:r w:rsidR="00092055" w:rsidRPr="00D62284">
        <w:rPr>
          <w:rFonts w:ascii="Museo Sans 300" w:hAnsi="Museo Sans 300"/>
          <w:sz w:val="22"/>
          <w:szCs w:val="22"/>
          <w:lang w:val="es-MX"/>
        </w:rPr>
        <w:t xml:space="preserve">el cual representa un </w:t>
      </w:r>
      <w:r w:rsidR="00C15348" w:rsidRPr="00D62284">
        <w:rPr>
          <w:rFonts w:ascii="Museo Sans 300" w:hAnsi="Museo Sans 300"/>
          <w:sz w:val="22"/>
          <w:szCs w:val="22"/>
          <w:lang w:val="es-MX"/>
        </w:rPr>
        <w:t>1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9.5</w:t>
      </w:r>
      <w:r w:rsidR="00092055" w:rsidRPr="00D62284">
        <w:rPr>
          <w:rFonts w:ascii="Museo Sans 300" w:hAnsi="Museo Sans 300"/>
          <w:sz w:val="22"/>
          <w:szCs w:val="22"/>
          <w:lang w:val="es-MX"/>
        </w:rPr>
        <w:t xml:space="preserve">% del PIB, </w:t>
      </w:r>
      <w:r w:rsidRPr="00D62284">
        <w:rPr>
          <w:rFonts w:ascii="Museo Sans 300" w:hAnsi="Museo Sans 300"/>
          <w:sz w:val="22"/>
          <w:szCs w:val="22"/>
          <w:lang w:val="es-MX"/>
        </w:rPr>
        <w:t>la deuda ascendió a $</w:t>
      </w:r>
      <w:r w:rsidR="00BF1AE8" w:rsidRPr="00D62284">
        <w:rPr>
          <w:rFonts w:ascii="Museo Sans 300" w:hAnsi="Museo Sans 300"/>
          <w:sz w:val="22"/>
          <w:szCs w:val="22"/>
          <w:lang w:val="es-MX"/>
        </w:rPr>
        <w:t>2</w:t>
      </w:r>
      <w:r w:rsidR="00596455" w:rsidRPr="00D62284">
        <w:rPr>
          <w:rFonts w:ascii="Museo Sans 300" w:hAnsi="Museo Sans 300"/>
          <w:sz w:val="22"/>
          <w:szCs w:val="22"/>
          <w:lang w:val="es-MX"/>
        </w:rPr>
        <w:t>4,235.4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con un aumento de $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971.7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(</w:t>
      </w:r>
      <w:r w:rsidR="0045512F" w:rsidRPr="00D62284">
        <w:rPr>
          <w:rFonts w:ascii="Museo Sans 300" w:hAnsi="Museo Sans 300"/>
          <w:sz w:val="22"/>
          <w:szCs w:val="22"/>
          <w:lang w:val="es-MX"/>
        </w:rPr>
        <w:t>4.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%) respecto al saldo registrado en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="0005223C">
        <w:rPr>
          <w:rFonts w:ascii="Museo Sans 300" w:hAnsi="Museo Sans 300"/>
          <w:sz w:val="22"/>
          <w:szCs w:val="22"/>
          <w:lang w:val="es-MX"/>
        </w:rPr>
        <w:t>.</w:t>
      </w:r>
      <w:r w:rsidR="00BE517D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En términos del PIB, la deuda llegó al </w:t>
      </w:r>
      <w:r w:rsidR="00C15348" w:rsidRPr="00D62284">
        <w:rPr>
          <w:rFonts w:ascii="Museo Sans 300" w:hAnsi="Museo Sans 300"/>
          <w:sz w:val="22"/>
          <w:szCs w:val="22"/>
          <w:lang w:val="es-MX"/>
        </w:rPr>
        <w:t>7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6.2</w:t>
      </w:r>
      <w:r w:rsidR="00781123" w:rsidRPr="00D62284">
        <w:rPr>
          <w:rFonts w:ascii="Museo Sans 300" w:hAnsi="Museo Sans 300"/>
          <w:sz w:val="22"/>
          <w:szCs w:val="22"/>
          <w:lang w:val="es-MX"/>
        </w:rPr>
        <w:t>%,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A7679" w:rsidRPr="00D62284">
        <w:rPr>
          <w:rFonts w:ascii="Museo Sans 300" w:hAnsi="Museo Sans 300"/>
          <w:sz w:val="22"/>
          <w:szCs w:val="22"/>
          <w:lang w:val="es-MX"/>
        </w:rPr>
        <w:t>inferior</w:t>
      </w:r>
      <w:r w:rsidR="00F667C7" w:rsidRPr="00D62284">
        <w:rPr>
          <w:rFonts w:ascii="Museo Sans 300" w:hAnsi="Museo Sans 300"/>
          <w:sz w:val="22"/>
          <w:szCs w:val="22"/>
          <w:lang w:val="es-MX"/>
        </w:rPr>
        <w:t xml:space="preserve"> en </w:t>
      </w:r>
      <w:r w:rsidR="0045512F" w:rsidRPr="00D62284">
        <w:rPr>
          <w:rFonts w:ascii="Museo Sans 300" w:hAnsi="Museo Sans 300"/>
          <w:sz w:val="22"/>
          <w:szCs w:val="22"/>
          <w:lang w:val="es-MX"/>
        </w:rPr>
        <w:t>4.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8</w:t>
      </w:r>
      <w:r w:rsidR="00BC0CD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667C7" w:rsidRPr="00D62284">
        <w:rPr>
          <w:rFonts w:ascii="Museo Sans 300" w:hAnsi="Museo Sans 300"/>
          <w:sz w:val="22"/>
          <w:szCs w:val="22"/>
          <w:lang w:val="es-MX"/>
        </w:rPr>
        <w:t>punto</w:t>
      </w:r>
      <w:r w:rsidR="00BC0CDC" w:rsidRPr="00D62284">
        <w:rPr>
          <w:rFonts w:ascii="Museo Sans 300" w:hAnsi="Museo Sans 300"/>
          <w:sz w:val="22"/>
          <w:szCs w:val="22"/>
          <w:lang w:val="es-MX"/>
        </w:rPr>
        <w:t>s</w:t>
      </w:r>
      <w:r w:rsidR="00F667C7" w:rsidRPr="00D62284">
        <w:rPr>
          <w:rFonts w:ascii="Museo Sans 300" w:hAnsi="Museo Sans 300"/>
          <w:sz w:val="22"/>
          <w:szCs w:val="22"/>
          <w:lang w:val="es-MX"/>
        </w:rPr>
        <w:t xml:space="preserve"> porcentual</w:t>
      </w:r>
      <w:r w:rsidR="00BF1AE8" w:rsidRPr="00D62284">
        <w:rPr>
          <w:rFonts w:ascii="Museo Sans 300" w:hAnsi="Museo Sans 300"/>
          <w:sz w:val="22"/>
          <w:szCs w:val="22"/>
          <w:lang w:val="es-MX"/>
        </w:rPr>
        <w:t>es</w:t>
      </w:r>
      <w:r w:rsidR="00F667C7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0964" w:rsidRPr="00D62284">
        <w:rPr>
          <w:rFonts w:ascii="Museo Sans 300" w:hAnsi="Museo Sans 300"/>
          <w:sz w:val="22"/>
          <w:szCs w:val="22"/>
          <w:lang w:val="es-MX"/>
        </w:rPr>
        <w:t>con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respecto al nivel registrado </w:t>
      </w:r>
      <w:r w:rsidR="005A54D2" w:rsidRPr="00D62284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2A0964" w:rsidRPr="00D62284">
        <w:rPr>
          <w:rFonts w:ascii="Museo Sans 300" w:hAnsi="Museo Sans 300"/>
          <w:sz w:val="22"/>
          <w:szCs w:val="22"/>
          <w:lang w:val="es-MX"/>
        </w:rPr>
        <w:t xml:space="preserve">mismo período </w:t>
      </w:r>
      <w:r w:rsidR="005A54D2" w:rsidRPr="00D62284">
        <w:rPr>
          <w:rFonts w:ascii="Museo Sans 300" w:hAnsi="Museo Sans 300"/>
          <w:sz w:val="22"/>
          <w:szCs w:val="22"/>
          <w:lang w:val="es-MX"/>
        </w:rPr>
        <w:t>de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="00067A82" w:rsidRPr="00D62284">
        <w:rPr>
          <w:rFonts w:ascii="Museo Sans 300" w:hAnsi="Museo Sans 300"/>
          <w:sz w:val="22"/>
          <w:szCs w:val="22"/>
          <w:lang w:val="es-MX"/>
        </w:rPr>
        <w:t>.</w:t>
      </w:r>
      <w:r w:rsidR="00170BAE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bookmarkEnd w:id="63"/>
    <w:p w14:paraId="2882C231" w14:textId="77777777" w:rsidR="001A0A78" w:rsidRPr="00D62284" w:rsidRDefault="001A0A78" w:rsidP="001A0A78">
      <w:pPr>
        <w:jc w:val="center"/>
        <w:rPr>
          <w:rFonts w:ascii="Museo Sans 300" w:hAnsi="Museo Sans 300"/>
          <w:sz w:val="22"/>
          <w:szCs w:val="22"/>
          <w:highlight w:val="yellow"/>
          <w:lang w:val="es-MX"/>
        </w:rPr>
      </w:pPr>
    </w:p>
    <w:bookmarkEnd w:id="64"/>
    <w:p w14:paraId="3B609084" w14:textId="77777777" w:rsidR="00FC59E9" w:rsidRPr="00D62284" w:rsidRDefault="00FC59E9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0294F312" w14:textId="77777777" w:rsidR="00FC59E9" w:rsidRPr="00D62284" w:rsidRDefault="00FC59E9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273DA839" w14:textId="77777777" w:rsidR="006576D7" w:rsidRPr="00D62284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036B4C68" w14:textId="77777777" w:rsidR="006576D7" w:rsidRPr="00D62284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465EF704" w14:textId="77777777" w:rsidR="006576D7" w:rsidRPr="00D62284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44372800" w14:textId="77777777" w:rsidR="006576D7" w:rsidRPr="00D62284" w:rsidRDefault="006576D7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13064FC9" w14:textId="77777777" w:rsidR="0012688D" w:rsidRDefault="001A0A78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lastRenderedPageBreak/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Saldo de la Deuda con pensiones del SPNF 2014 –2021 y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2022</w:t>
      </w:r>
      <w:r w:rsidR="00C82803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742F85F1" w14:textId="77777777" w:rsidR="00C855BA" w:rsidRPr="00D62284" w:rsidRDefault="00C855BA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E326A08" w14:textId="77777777" w:rsidR="001A0A78" w:rsidRPr="00D62284" w:rsidRDefault="00650270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650270">
        <w:rPr>
          <w:noProof/>
        </w:rPr>
        <w:drawing>
          <wp:inline distT="0" distB="0" distL="0" distR="0" wp14:anchorId="75F2EE0A" wp14:editId="03A2FB3C">
            <wp:extent cx="4340180" cy="2602498"/>
            <wp:effectExtent l="0" t="0" r="3810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86" cy="26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9BEF" w14:textId="77777777" w:rsidR="001A0A78" w:rsidRPr="00D62284" w:rsidRDefault="001A0A7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ADCF04C" w14:textId="77777777" w:rsidR="00BE517D" w:rsidRPr="00D62284" w:rsidRDefault="00BE517D" w:rsidP="00BE517D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65" w:name="_Toc56581214"/>
      <w:bookmarkStart w:id="66" w:name="_Toc116389140"/>
      <w:r w:rsidRPr="00D62284">
        <w:rPr>
          <w:rFonts w:ascii="Museo Sans 300" w:hAnsi="Museo Sans 300"/>
          <w:b/>
          <w:sz w:val="22"/>
          <w:szCs w:val="22"/>
          <w:lang w:val="es-MX"/>
        </w:rPr>
        <w:t>3.1 Deuda Interna</w:t>
      </w:r>
      <w:bookmarkEnd w:id="65"/>
      <w:bookmarkEnd w:id="66"/>
    </w:p>
    <w:p w14:paraId="18FB7099" w14:textId="77777777" w:rsidR="00BE517D" w:rsidRPr="00D62284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11B6106" w14:textId="77777777" w:rsidR="00BE517D" w:rsidRPr="00D62284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El Saldo de la deuda interna alcanzó un monto de $</w:t>
      </w:r>
      <w:r w:rsidR="00C15348" w:rsidRPr="00D62284">
        <w:rPr>
          <w:rFonts w:ascii="Museo Sans 300" w:hAnsi="Museo Sans 300"/>
          <w:sz w:val="22"/>
          <w:szCs w:val="22"/>
          <w:lang w:val="es-MX"/>
        </w:rPr>
        <w:t>6,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915.9</w:t>
      </w:r>
      <w:r w:rsidR="00194FEF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millones equivalente a 2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1.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del PIB. Al incorporar el saldo del Fideicomisos de Obligaciones Previsionales, (FOP) </w:t>
      </w:r>
      <w:r w:rsidR="00194FEF" w:rsidRPr="00D62284">
        <w:rPr>
          <w:rFonts w:ascii="Museo Sans 300" w:hAnsi="Museo Sans 300"/>
          <w:sz w:val="22"/>
          <w:szCs w:val="22"/>
          <w:lang w:val="es-MX"/>
        </w:rPr>
        <w:t>este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asciende a $1</w:t>
      </w:r>
      <w:r w:rsidR="008D7145" w:rsidRPr="00D62284">
        <w:rPr>
          <w:rFonts w:ascii="Museo Sans 300" w:hAnsi="Museo Sans 300"/>
          <w:sz w:val="22"/>
          <w:szCs w:val="22"/>
          <w:lang w:val="es-MX"/>
        </w:rPr>
        <w:t>3,117.4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superior en $</w:t>
      </w:r>
      <w:r w:rsidR="0045512F" w:rsidRPr="00D62284">
        <w:rPr>
          <w:rFonts w:ascii="Museo Sans 300" w:hAnsi="Museo Sans 300"/>
          <w:sz w:val="22"/>
          <w:szCs w:val="22"/>
          <w:lang w:val="es-MX"/>
        </w:rPr>
        <w:t>1,2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94.4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con respecto al nivel registrado en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="000A6A22"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1265C294" w14:textId="77777777" w:rsidR="000A6A22" w:rsidRPr="00D62284" w:rsidRDefault="000A6A22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4E65F5D" w14:textId="77777777" w:rsidR="00BE517D" w:rsidRPr="00D62284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En su composición el saldo de la deuda interna está integrado principalmente por: deuda del BCR por $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1,0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70.3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millones; Certificados Previsionales del FOP por $</w:t>
      </w:r>
      <w:r w:rsidR="00FA0A11" w:rsidRPr="00D62284">
        <w:rPr>
          <w:rFonts w:ascii="Museo Sans 300" w:hAnsi="Museo Sans 300"/>
          <w:sz w:val="22"/>
          <w:szCs w:val="22"/>
          <w:lang w:val="es-MX"/>
        </w:rPr>
        <w:t>6,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202.2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millones; bonos emitidos en el mercado nacional y eurobonos en poder de residentes por $</w:t>
      </w:r>
      <w:r w:rsidR="00933944" w:rsidRPr="00D62284">
        <w:rPr>
          <w:rFonts w:ascii="Museo Sans 300" w:hAnsi="Museo Sans 300"/>
          <w:sz w:val="22"/>
          <w:szCs w:val="22"/>
          <w:lang w:val="es-MX"/>
        </w:rPr>
        <w:t>3,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128.0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millones; deuda de corto plazo (LETES) por $1,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326.6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A41536" w:rsidRPr="00D62284">
        <w:rPr>
          <w:rFonts w:ascii="Museo Sans 300" w:hAnsi="Museo Sans 300"/>
          <w:sz w:val="22"/>
          <w:szCs w:val="22"/>
          <w:lang w:val="es-MX"/>
        </w:rPr>
        <w:t>;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CETES por $</w:t>
      </w:r>
      <w:r w:rsidR="004923BB" w:rsidRPr="00D62284">
        <w:rPr>
          <w:rFonts w:ascii="Museo Sans 300" w:hAnsi="Museo Sans 300"/>
          <w:sz w:val="22"/>
          <w:szCs w:val="22"/>
          <w:lang w:val="es-MX"/>
        </w:rPr>
        <w:t>1,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330.1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y otros por $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60.8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Pr="00D62284">
        <w:rPr>
          <w:rFonts w:ascii="Museo Sans 300" w:hAnsi="Museo Sans 300"/>
          <w:color w:val="FF0000"/>
          <w:sz w:val="22"/>
          <w:szCs w:val="22"/>
          <w:lang w:val="es-MX"/>
        </w:rPr>
        <w:t>.</w:t>
      </w:r>
      <w:r w:rsidR="004B7D62" w:rsidRPr="00D62284">
        <w:rPr>
          <w:rFonts w:ascii="Museo Sans 300" w:hAnsi="Museo Sans 300"/>
          <w:color w:val="FF0000"/>
          <w:sz w:val="22"/>
          <w:szCs w:val="22"/>
          <w:lang w:val="es-MX"/>
        </w:rPr>
        <w:t xml:space="preserve"> </w:t>
      </w:r>
    </w:p>
    <w:p w14:paraId="74E54F95" w14:textId="77777777" w:rsidR="00774C28" w:rsidRPr="00D62284" w:rsidRDefault="00774C2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1C2AF2BA" w14:textId="77777777" w:rsidR="00442DE5" w:rsidRPr="00D62284" w:rsidRDefault="00BD6252" w:rsidP="004423E5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67" w:name="_Toc56581215"/>
      <w:bookmarkStart w:id="68" w:name="_Toc116389141"/>
      <w:r w:rsidR="00AA7D08"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.2 </w:t>
      </w:r>
      <w:r w:rsidR="00442DE5" w:rsidRPr="00D62284">
        <w:rPr>
          <w:rFonts w:ascii="Museo Sans 300" w:hAnsi="Museo Sans 300"/>
          <w:b/>
          <w:sz w:val="22"/>
          <w:szCs w:val="22"/>
          <w:lang w:val="es-MX"/>
        </w:rPr>
        <w:t>Deuda Externa.</w:t>
      </w:r>
      <w:bookmarkEnd w:id="67"/>
      <w:bookmarkEnd w:id="68"/>
    </w:p>
    <w:p w14:paraId="36AE9D1E" w14:textId="77777777" w:rsidR="00442DE5" w:rsidRPr="00D62284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3CE4FAE" w14:textId="77777777" w:rsidR="00442DE5" w:rsidRPr="00D62284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Por su parte, la deuda externa </w:t>
      </w:r>
      <w:r w:rsidR="00D41F8B" w:rsidRPr="00D62284">
        <w:rPr>
          <w:rFonts w:ascii="Museo Sans 300" w:hAnsi="Museo Sans 300"/>
          <w:sz w:val="22"/>
          <w:szCs w:val="22"/>
          <w:lang w:val="es-MX"/>
        </w:rPr>
        <w:t xml:space="preserve">total </w:t>
      </w:r>
      <w:r w:rsidRPr="00D62284">
        <w:rPr>
          <w:rFonts w:ascii="Museo Sans 300" w:hAnsi="Museo Sans 300"/>
          <w:sz w:val="22"/>
          <w:szCs w:val="22"/>
          <w:lang w:val="es-MX"/>
        </w:rPr>
        <w:t>ascendió a $</w:t>
      </w:r>
      <w:r w:rsidR="00BC69B8" w:rsidRPr="00D62284">
        <w:rPr>
          <w:rFonts w:ascii="Museo Sans 300" w:hAnsi="Museo Sans 300"/>
          <w:sz w:val="22"/>
          <w:szCs w:val="22"/>
          <w:lang w:val="es-MX"/>
        </w:rPr>
        <w:t>1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1,117.3</w:t>
      </w:r>
      <w:r w:rsidR="00481AC8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millones, representando el </w:t>
      </w:r>
      <w:r w:rsidR="004923BB" w:rsidRPr="00D62284">
        <w:rPr>
          <w:rFonts w:ascii="Museo Sans 300" w:hAnsi="Museo Sans 300"/>
          <w:sz w:val="22"/>
          <w:szCs w:val="22"/>
          <w:lang w:val="es-MX"/>
        </w:rPr>
        <w:t>3</w:t>
      </w:r>
      <w:r w:rsidR="00A02527" w:rsidRPr="00D62284">
        <w:rPr>
          <w:rFonts w:ascii="Museo Sans 300" w:hAnsi="Museo Sans 300"/>
          <w:sz w:val="22"/>
          <w:szCs w:val="22"/>
          <w:lang w:val="es-MX"/>
        </w:rPr>
        <w:t>4.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9</w:t>
      </w:r>
      <w:r w:rsidRPr="00D62284">
        <w:rPr>
          <w:rFonts w:ascii="Museo Sans 300" w:hAnsi="Museo Sans 300"/>
          <w:sz w:val="22"/>
          <w:szCs w:val="22"/>
          <w:lang w:val="es-MX"/>
        </w:rPr>
        <w:t>% del PIB, resultando m</w:t>
      </w:r>
      <w:r w:rsidR="005B16EB" w:rsidRPr="00D62284">
        <w:rPr>
          <w:rFonts w:ascii="Museo Sans 300" w:hAnsi="Museo Sans 300"/>
          <w:sz w:val="22"/>
          <w:szCs w:val="22"/>
          <w:lang w:val="es-MX"/>
        </w:rPr>
        <w:t>enor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en $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323.4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2.8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con relación al saldo registrado </w:t>
      </w:r>
      <w:r w:rsidR="008C7079" w:rsidRPr="00D62284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D41F8B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Pr="00D62284">
        <w:rPr>
          <w:rFonts w:ascii="Museo Sans 300" w:hAnsi="Museo Sans 300"/>
          <w:sz w:val="22"/>
          <w:szCs w:val="22"/>
          <w:lang w:val="es-MX"/>
        </w:rPr>
        <w:t>. Con respecto a su composición, el saldo de la deuda externa está concentrado en las Instituciones multilaterales, con $</w:t>
      </w:r>
      <w:r w:rsidR="004923BB" w:rsidRPr="00D62284">
        <w:rPr>
          <w:rFonts w:ascii="Museo Sans 300" w:hAnsi="Museo Sans 300"/>
          <w:sz w:val="22"/>
          <w:szCs w:val="22"/>
          <w:lang w:val="es-MX"/>
        </w:rPr>
        <w:t>5,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510.6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destacándose el BID, con $</w:t>
      </w:r>
      <w:r w:rsidR="00F32152" w:rsidRPr="00D62284">
        <w:rPr>
          <w:rFonts w:ascii="Museo Sans 300" w:hAnsi="Museo Sans 300"/>
          <w:sz w:val="22"/>
          <w:szCs w:val="22"/>
          <w:lang w:val="es-MX"/>
        </w:rPr>
        <w:t>2,</w:t>
      </w:r>
      <w:r w:rsidR="004923BB" w:rsidRPr="00D62284">
        <w:rPr>
          <w:rFonts w:ascii="Museo Sans 300" w:hAnsi="Museo Sans 300"/>
          <w:sz w:val="22"/>
          <w:szCs w:val="22"/>
          <w:lang w:val="es-MX"/>
        </w:rPr>
        <w:t>0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26.6</w:t>
      </w:r>
      <w:r w:rsidR="00EC41B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millones; el BIRF, con $</w:t>
      </w:r>
      <w:r w:rsidR="005B16EB" w:rsidRPr="00D62284">
        <w:rPr>
          <w:rFonts w:ascii="Museo Sans 300" w:hAnsi="Museo Sans 300"/>
          <w:sz w:val="22"/>
          <w:szCs w:val="22"/>
          <w:lang w:val="es-MX"/>
        </w:rPr>
        <w:t>87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8.3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y el BCIE, con un saldo de $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2,091.2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entre otros. La deuda bilateral ascendió a $</w:t>
      </w:r>
      <w:r w:rsidR="00461174" w:rsidRPr="00D62284">
        <w:rPr>
          <w:rFonts w:ascii="Museo Sans 300" w:hAnsi="Museo Sans 300"/>
          <w:sz w:val="22"/>
          <w:szCs w:val="22"/>
          <w:lang w:val="es-MX"/>
        </w:rPr>
        <w:t>3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48.5</w:t>
      </w:r>
      <w:r w:rsidR="00BD7E5E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millones, sobresaliendo </w:t>
      </w:r>
      <w:r w:rsidR="00853AA2" w:rsidRPr="00D62284">
        <w:rPr>
          <w:rFonts w:ascii="Museo Sans 300" w:hAnsi="Museo Sans 300"/>
          <w:sz w:val="22"/>
          <w:szCs w:val="22"/>
          <w:lang w:val="es-MX"/>
        </w:rPr>
        <w:t>Alemania con $</w:t>
      </w:r>
      <w:r w:rsidR="005B16EB" w:rsidRPr="00D62284">
        <w:rPr>
          <w:rFonts w:ascii="Museo Sans 300" w:hAnsi="Museo Sans 300"/>
          <w:sz w:val="22"/>
          <w:szCs w:val="22"/>
          <w:lang w:val="es-MX"/>
        </w:rPr>
        <w:t>9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7.8</w:t>
      </w:r>
      <w:r w:rsidR="00853AA2" w:rsidRPr="00D62284">
        <w:rPr>
          <w:rFonts w:ascii="Museo Sans 300" w:hAnsi="Museo Sans 300"/>
          <w:sz w:val="22"/>
          <w:szCs w:val="22"/>
          <w:lang w:val="es-MX"/>
        </w:rPr>
        <w:t xml:space="preserve"> millones y </w:t>
      </w:r>
      <w:r w:rsidRPr="00D62284">
        <w:rPr>
          <w:rFonts w:ascii="Museo Sans 300" w:hAnsi="Museo Sans 300"/>
          <w:sz w:val="22"/>
          <w:szCs w:val="22"/>
          <w:lang w:val="es-MX"/>
        </w:rPr>
        <w:t>Japón con un saldo de $</w:t>
      </w:r>
      <w:r w:rsidR="006B6EC2" w:rsidRPr="00D62284">
        <w:rPr>
          <w:rFonts w:ascii="Museo Sans 300" w:hAnsi="Museo Sans 300"/>
          <w:sz w:val="22"/>
          <w:szCs w:val="22"/>
          <w:lang w:val="es-MX"/>
        </w:rPr>
        <w:t>1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32.7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672060" w:rsidRPr="00D62284">
        <w:rPr>
          <w:rFonts w:ascii="Museo Sans 300" w:hAnsi="Museo Sans 300"/>
          <w:sz w:val="22"/>
          <w:szCs w:val="22"/>
          <w:lang w:val="es-MX"/>
        </w:rPr>
        <w:t>,</w:t>
      </w:r>
      <w:r w:rsidR="00853AA2" w:rsidRPr="00D62284">
        <w:rPr>
          <w:rFonts w:ascii="Museo Sans 300" w:hAnsi="Museo Sans 300"/>
          <w:sz w:val="22"/>
          <w:szCs w:val="22"/>
          <w:lang w:val="es-MX"/>
        </w:rPr>
        <w:t xml:space="preserve"> entre otros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. Finalmente, los eurobonos en poder de no residentes </w:t>
      </w:r>
      <w:r w:rsidR="00080493" w:rsidRPr="00D62284">
        <w:rPr>
          <w:rFonts w:ascii="Museo Sans 300" w:hAnsi="Museo Sans 300"/>
          <w:sz w:val="22"/>
          <w:szCs w:val="22"/>
          <w:lang w:val="es-MX"/>
        </w:rPr>
        <w:t xml:space="preserve">(deuda comercial) </w:t>
      </w:r>
      <w:r w:rsidRPr="00D62284">
        <w:rPr>
          <w:rFonts w:ascii="Museo Sans 300" w:hAnsi="Museo Sans 300"/>
          <w:sz w:val="22"/>
          <w:szCs w:val="22"/>
          <w:lang w:val="es-MX"/>
        </w:rPr>
        <w:t>ascendieron a $</w:t>
      </w:r>
      <w:r w:rsidR="00BD4F7B" w:rsidRPr="00D62284">
        <w:rPr>
          <w:rFonts w:ascii="Museo Sans 300" w:hAnsi="Museo Sans 300"/>
          <w:sz w:val="22"/>
          <w:szCs w:val="22"/>
          <w:lang w:val="es-MX"/>
        </w:rPr>
        <w:t>5,</w:t>
      </w:r>
      <w:r w:rsidR="008336E0" w:rsidRPr="00D62284">
        <w:rPr>
          <w:rFonts w:ascii="Museo Sans 300" w:hAnsi="Museo Sans 300"/>
          <w:sz w:val="22"/>
          <w:szCs w:val="22"/>
          <w:lang w:val="es-MX"/>
        </w:rPr>
        <w:t>258.2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millones.</w:t>
      </w:r>
    </w:p>
    <w:p w14:paraId="7CD3A07F" w14:textId="77777777" w:rsidR="002B4222" w:rsidRPr="00D62284" w:rsidRDefault="002B4222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DC1239E" w14:textId="77777777" w:rsidR="00FC59E9" w:rsidRPr="00D62284" w:rsidRDefault="00FC59E9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5804B6D" w14:textId="77777777" w:rsidR="00442DE5" w:rsidRDefault="00442DE5" w:rsidP="004423E5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69" w:name="_Toc56581217"/>
      <w:bookmarkStart w:id="70" w:name="_Toc116389142"/>
      <w:r w:rsidR="00AA7D08"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>.</w:t>
      </w:r>
      <w:r w:rsidR="000655D5"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Servicio de la deuda</w:t>
      </w:r>
      <w:r w:rsidR="00170BAE" w:rsidRPr="00D62284">
        <w:rPr>
          <w:rFonts w:ascii="Museo Sans 300" w:hAnsi="Museo Sans 300"/>
          <w:b/>
          <w:sz w:val="22"/>
          <w:szCs w:val="22"/>
          <w:lang w:val="es-MX"/>
        </w:rPr>
        <w:t xml:space="preserve"> del SPNF</w:t>
      </w:r>
      <w:bookmarkEnd w:id="69"/>
      <w:bookmarkEnd w:id="70"/>
    </w:p>
    <w:p w14:paraId="35DA6512" w14:textId="77777777" w:rsidR="0018549A" w:rsidRPr="0018549A" w:rsidRDefault="0018549A" w:rsidP="0018549A">
      <w:pPr>
        <w:rPr>
          <w:lang w:val="es-MX"/>
        </w:rPr>
      </w:pPr>
    </w:p>
    <w:p w14:paraId="16644087" w14:textId="77777777" w:rsidR="0018549A" w:rsidRPr="0018549A" w:rsidRDefault="0018549A" w:rsidP="0018549A">
      <w:pPr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18549A">
        <w:rPr>
          <w:rFonts w:ascii="Museo Sans 300" w:hAnsi="Museo Sans 300"/>
          <w:sz w:val="22"/>
          <w:szCs w:val="22"/>
          <w:lang w:val="es-MX"/>
        </w:rPr>
        <w:t xml:space="preserve">El servicio de deuda del SPNF asciende a un total acumulado de $5,421.4 millones, de los cuales las amortizaciones al mes de diciembre 2022 ascendieron a un valor de $3,929.9 millones. Dentro de este valor le corresponde a la deuda de corto plazo (LETES y CETES) un valor de </w:t>
      </w:r>
      <w:r w:rsidRPr="0018549A">
        <w:rPr>
          <w:rFonts w:ascii="Museo Sans 300" w:hAnsi="Museo Sans 300"/>
          <w:sz w:val="22"/>
          <w:szCs w:val="22"/>
          <w:lang w:val="es-MX"/>
        </w:rPr>
        <w:lastRenderedPageBreak/>
        <w:t>$2,811.5 millones</w:t>
      </w:r>
      <w:r w:rsidRPr="0018549A">
        <w:rPr>
          <w:vertAlign w:val="superscript"/>
          <w:lang w:val="es-MX"/>
        </w:rPr>
        <w:footnoteReference w:id="1"/>
      </w:r>
      <w:r w:rsidRPr="0018549A">
        <w:rPr>
          <w:rFonts w:ascii="Museo Sans 300" w:hAnsi="Museo Sans 300"/>
          <w:sz w:val="22"/>
          <w:szCs w:val="22"/>
          <w:lang w:val="es-MX"/>
        </w:rPr>
        <w:t xml:space="preserve">. Por su parte, las amortizaciones efectuadas a bonos y préstamos de mediano y largo plazo ascendieron a $ 1,118.4 millones. </w:t>
      </w:r>
    </w:p>
    <w:p w14:paraId="1F0C3E7B" w14:textId="77777777" w:rsidR="0018549A" w:rsidRPr="0018549A" w:rsidRDefault="0018549A" w:rsidP="0018549A">
      <w:pPr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</w:p>
    <w:p w14:paraId="33C5BA71" w14:textId="77777777" w:rsidR="0018549A" w:rsidRPr="0018549A" w:rsidRDefault="0018549A" w:rsidP="0018549A">
      <w:pPr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18549A">
        <w:rPr>
          <w:rFonts w:ascii="Museo Sans 300" w:hAnsi="Museo Sans 300"/>
          <w:sz w:val="22"/>
          <w:szCs w:val="22"/>
          <w:lang w:val="es-MX"/>
        </w:rPr>
        <w:t xml:space="preserve">El pago de intereses ascendió a $1,491.5 millones, de los cuales $200.9 millones corresponden a deuda de corto plazo y $ 1,290.5 millones corresponden a deuda de mediano y largo plazo que incluye $ 367.6 millones de intereses de </w:t>
      </w:r>
      <w:proofErr w:type="spellStart"/>
      <w:r w:rsidRPr="0018549A">
        <w:rPr>
          <w:rFonts w:ascii="Museo Sans 300" w:hAnsi="Museo Sans 300"/>
          <w:sz w:val="22"/>
          <w:szCs w:val="22"/>
          <w:lang w:val="es-MX"/>
        </w:rPr>
        <w:t>CIP’s</w:t>
      </w:r>
      <w:proofErr w:type="spellEnd"/>
      <w:r w:rsidRPr="0018549A">
        <w:rPr>
          <w:rFonts w:ascii="Museo Sans 300" w:hAnsi="Museo Sans 300"/>
          <w:sz w:val="22"/>
          <w:szCs w:val="22"/>
          <w:lang w:val="es-MX"/>
        </w:rPr>
        <w:t xml:space="preserve"> y $ 646.5 de Bonos internos y externos.</w:t>
      </w:r>
    </w:p>
    <w:p w14:paraId="438E5F03" w14:textId="77777777" w:rsidR="0018549A" w:rsidRPr="0018549A" w:rsidRDefault="0018549A" w:rsidP="0018549A">
      <w:pPr>
        <w:ind w:right="-32"/>
        <w:jc w:val="center"/>
        <w:rPr>
          <w:rFonts w:ascii="Museo Sans 300" w:hAnsi="Museo Sans 300"/>
          <w:sz w:val="22"/>
          <w:szCs w:val="22"/>
          <w:lang w:val="es-MX"/>
        </w:rPr>
      </w:pPr>
    </w:p>
    <w:p w14:paraId="47DFC763" w14:textId="77777777" w:rsidR="00C960C9" w:rsidRPr="0018549A" w:rsidRDefault="00C960C9" w:rsidP="00C960C9">
      <w:pPr>
        <w:rPr>
          <w:rFonts w:ascii="Museo Sans 300" w:hAnsi="Museo Sans 300"/>
          <w:sz w:val="22"/>
          <w:szCs w:val="22"/>
        </w:rPr>
      </w:pPr>
    </w:p>
    <w:p w14:paraId="6EF0FDE0" w14:textId="77777777" w:rsidR="00BE54F5" w:rsidRPr="00D62284" w:rsidRDefault="00AA7D08" w:rsidP="00197782">
      <w:pPr>
        <w:pStyle w:val="Ttulo2"/>
        <w:spacing w:before="0"/>
        <w:rPr>
          <w:rFonts w:ascii="Museo Sans 300" w:hAnsi="Museo Sans 300"/>
          <w:b/>
          <w:sz w:val="22"/>
          <w:szCs w:val="22"/>
          <w:lang w:val="es-MX"/>
        </w:rPr>
      </w:pPr>
      <w:bookmarkStart w:id="71" w:name="_Toc411843467"/>
      <w:bookmarkStart w:id="72" w:name="_Toc505951458"/>
      <w:bookmarkStart w:id="73" w:name="_Toc56581221"/>
      <w:bookmarkStart w:id="74" w:name="_Toc116389143"/>
      <w:r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52AF" w:rsidRPr="00D62284">
        <w:rPr>
          <w:rFonts w:ascii="Museo Sans 300" w:hAnsi="Museo Sans 300"/>
          <w:b/>
          <w:sz w:val="22"/>
          <w:szCs w:val="22"/>
          <w:lang w:val="es-MX"/>
        </w:rPr>
        <w:t>R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esultados</w:t>
      </w:r>
      <w:bookmarkEnd w:id="71"/>
      <w:r w:rsidR="00C20E39" w:rsidRPr="00D62284">
        <w:rPr>
          <w:rFonts w:ascii="Museo Sans 300" w:hAnsi="Museo Sans 300"/>
          <w:b/>
          <w:sz w:val="22"/>
          <w:szCs w:val="22"/>
          <w:lang w:val="es-MX"/>
        </w:rPr>
        <w:t xml:space="preserve"> Globales del SPNF</w:t>
      </w:r>
      <w:bookmarkEnd w:id="72"/>
      <w:bookmarkEnd w:id="73"/>
      <w:r w:rsidR="00404593" w:rsidRPr="00D62284">
        <w:rPr>
          <w:rFonts w:ascii="Museo Sans 300" w:hAnsi="Museo Sans 300"/>
          <w:b/>
          <w:sz w:val="22"/>
          <w:szCs w:val="22"/>
          <w:lang w:val="es-MX"/>
        </w:rPr>
        <w:t xml:space="preserve"> (ver anexo 1 y 2)</w:t>
      </w:r>
      <w:bookmarkEnd w:id="74"/>
    </w:p>
    <w:p w14:paraId="2E485D35" w14:textId="77777777" w:rsidR="00197782" w:rsidRPr="00D62284" w:rsidRDefault="00197782" w:rsidP="00197782">
      <w:pPr>
        <w:rPr>
          <w:rFonts w:ascii="Museo Sans 300" w:hAnsi="Museo Sans 300"/>
          <w:sz w:val="22"/>
          <w:szCs w:val="22"/>
          <w:lang w:val="es-MX"/>
        </w:rPr>
      </w:pPr>
    </w:p>
    <w:p w14:paraId="292C8436" w14:textId="77777777" w:rsidR="005B3920" w:rsidRPr="00D62284" w:rsidRDefault="00442DE5" w:rsidP="00197782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bookmarkStart w:id="75" w:name="_Toc411843468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76" w:name="_Toc411843469"/>
      <w:bookmarkStart w:id="77" w:name="_Toc56581223"/>
      <w:bookmarkStart w:id="78" w:name="_Toc116389144"/>
      <w:bookmarkEnd w:id="75"/>
      <w:r w:rsidR="00085376" w:rsidRPr="00D62284">
        <w:rPr>
          <w:rFonts w:ascii="Museo Sans 300" w:hAnsi="Museo Sans 300"/>
          <w:b/>
          <w:sz w:val="22"/>
          <w:szCs w:val="22"/>
          <w:lang w:val="es-MX"/>
        </w:rPr>
        <w:t xml:space="preserve">4.1 </w:t>
      </w:r>
      <w:bookmarkEnd w:id="76"/>
      <w:bookmarkEnd w:id="77"/>
      <w:r w:rsidR="005B3920" w:rsidRPr="00D62284">
        <w:rPr>
          <w:rFonts w:ascii="Museo Sans 300" w:hAnsi="Museo Sans 300"/>
          <w:b/>
          <w:sz w:val="22"/>
          <w:szCs w:val="22"/>
          <w:lang w:val="es-MX"/>
        </w:rPr>
        <w:t>Balance Primario</w:t>
      </w:r>
      <w:bookmarkEnd w:id="78"/>
    </w:p>
    <w:p w14:paraId="2BD8C9CF" w14:textId="77777777" w:rsidR="005B3920" w:rsidRPr="00D62284" w:rsidRDefault="005B3920" w:rsidP="00197782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6C2DAE6" w14:textId="77777777" w:rsidR="005B3920" w:rsidRPr="00D62284" w:rsidRDefault="005B3920" w:rsidP="005B3920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79" w:name="_Hlk128489688"/>
      <w:r w:rsidRPr="00D62284">
        <w:rPr>
          <w:rFonts w:ascii="Museo Sans 300" w:hAnsi="Museo Sans 300"/>
          <w:sz w:val="22"/>
          <w:szCs w:val="22"/>
          <w:lang w:val="es-MX"/>
        </w:rPr>
        <w:t>El balance primario</w:t>
      </w:r>
      <w:r w:rsidRPr="00D62284">
        <w:rPr>
          <w:rFonts w:ascii="Museo Sans 300" w:hAnsi="Museo Sans 300"/>
          <w:sz w:val="22"/>
          <w:szCs w:val="22"/>
          <w:vertAlign w:val="superscript"/>
          <w:lang w:val="es-MX"/>
        </w:rPr>
        <w:footnoteReference w:id="2"/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(con pensiones) 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 2022</w:t>
      </w:r>
      <w:r w:rsidRPr="00D62284">
        <w:rPr>
          <w:rFonts w:ascii="Museo Sans 300" w:hAnsi="Museo Sans 300"/>
          <w:sz w:val="22"/>
          <w:szCs w:val="22"/>
          <w:lang w:val="es-MX"/>
        </w:rPr>
        <w:t>, obtuvo un resultado de $</w:t>
      </w:r>
      <w:r w:rsidR="00E76D2C" w:rsidRPr="00D62284">
        <w:rPr>
          <w:rFonts w:ascii="Museo Sans 300" w:hAnsi="Museo Sans 300"/>
          <w:sz w:val="22"/>
          <w:szCs w:val="22"/>
          <w:lang w:val="es-MX"/>
        </w:rPr>
        <w:t>631.2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siendo m</w:t>
      </w:r>
      <w:r w:rsidR="00BD4F7B" w:rsidRPr="00D62284">
        <w:rPr>
          <w:rFonts w:ascii="Museo Sans 300" w:hAnsi="Museo Sans 300"/>
          <w:sz w:val="22"/>
          <w:szCs w:val="22"/>
          <w:lang w:val="es-MX"/>
        </w:rPr>
        <w:t xml:space="preserve">ayor </w:t>
      </w:r>
      <w:r w:rsidRPr="00D62284">
        <w:rPr>
          <w:rFonts w:ascii="Museo Sans 300" w:hAnsi="Museo Sans 300"/>
          <w:sz w:val="22"/>
          <w:szCs w:val="22"/>
          <w:lang w:val="es-MX"/>
        </w:rPr>
        <w:t>en $</w:t>
      </w:r>
      <w:r w:rsidR="00E76D2C" w:rsidRPr="00D62284">
        <w:rPr>
          <w:rFonts w:ascii="Museo Sans 300" w:hAnsi="Museo Sans 300"/>
          <w:sz w:val="22"/>
          <w:szCs w:val="22"/>
          <w:lang w:val="es-MX"/>
        </w:rPr>
        <w:t>933.7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 respecto al </w:t>
      </w:r>
      <w:r w:rsidR="0005223C">
        <w:rPr>
          <w:rFonts w:ascii="Museo Sans 300" w:hAnsi="Museo Sans 300"/>
          <w:sz w:val="22"/>
          <w:szCs w:val="22"/>
          <w:lang w:val="es-MX"/>
        </w:rPr>
        <w:t>resultado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obtenido 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DA1707" w:rsidRPr="00D62284">
        <w:rPr>
          <w:rFonts w:ascii="Museo Sans 300" w:hAnsi="Museo Sans 300"/>
          <w:sz w:val="22"/>
          <w:szCs w:val="22"/>
          <w:lang w:val="es-MX"/>
        </w:rPr>
        <w:t>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. En términos del PIB fue equivalente al </w:t>
      </w:r>
      <w:r w:rsidR="00E76D2C" w:rsidRPr="00D62284">
        <w:rPr>
          <w:rFonts w:ascii="Museo Sans 300" w:hAnsi="Museo Sans 300"/>
          <w:sz w:val="22"/>
          <w:szCs w:val="22"/>
          <w:lang w:val="es-MX"/>
        </w:rPr>
        <w:t>2.0</w:t>
      </w:r>
      <w:r w:rsidRPr="00D62284">
        <w:rPr>
          <w:rFonts w:ascii="Museo Sans 300" w:hAnsi="Museo Sans 300"/>
          <w:sz w:val="22"/>
          <w:szCs w:val="22"/>
          <w:lang w:val="es-MX"/>
        </w:rPr>
        <w:t>% m</w:t>
      </w:r>
      <w:r w:rsidR="00BD4F7B" w:rsidRPr="00D62284">
        <w:rPr>
          <w:rFonts w:ascii="Museo Sans 300" w:hAnsi="Museo Sans 300"/>
          <w:sz w:val="22"/>
          <w:szCs w:val="22"/>
          <w:lang w:val="es-MX"/>
        </w:rPr>
        <w:t>ayor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en </w:t>
      </w:r>
      <w:r w:rsidR="00E76D2C" w:rsidRPr="00D62284">
        <w:rPr>
          <w:rFonts w:ascii="Museo Sans 300" w:hAnsi="Museo Sans 300"/>
          <w:sz w:val="22"/>
          <w:szCs w:val="22"/>
          <w:lang w:val="es-MX"/>
        </w:rPr>
        <w:t>3.1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puntos al obtenido en el año anterior.</w:t>
      </w:r>
    </w:p>
    <w:bookmarkEnd w:id="79"/>
    <w:p w14:paraId="6C547514" w14:textId="77777777" w:rsidR="009E7475" w:rsidRPr="00D62284" w:rsidRDefault="009E7475" w:rsidP="00840A08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F1C8410" w14:textId="77777777" w:rsidR="00EE4073" w:rsidRPr="00D62284" w:rsidRDefault="0049611D" w:rsidP="0049611D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3F74EF" w:rsidRPr="00D62284">
        <w:rPr>
          <w:rFonts w:ascii="Museo Sans 300" w:hAnsi="Museo Sans 300"/>
          <w:sz w:val="22"/>
          <w:szCs w:val="22"/>
          <w:lang w:val="es-MX"/>
        </w:rPr>
        <w:t>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Balance Primario del SPNF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2014-2022</w:t>
      </w:r>
    </w:p>
    <w:p w14:paraId="04034723" w14:textId="77777777" w:rsidR="0049611D" w:rsidRPr="00D62284" w:rsidRDefault="0049611D" w:rsidP="0049611D">
      <w:pPr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E4073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0CCCBDCB" w14:textId="77777777" w:rsidR="000E0CCD" w:rsidRPr="00D62284" w:rsidRDefault="005F1C55" w:rsidP="00FC59E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1E8CDB2E" wp14:editId="1CC137E6">
            <wp:extent cx="4997003" cy="333839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22" cy="33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D171" w14:textId="77777777" w:rsidR="00E95BC9" w:rsidRPr="00D62284" w:rsidRDefault="00E95BC9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19049479" w14:textId="77777777" w:rsidR="00C960C9" w:rsidRPr="00D62284" w:rsidRDefault="00442DE5" w:rsidP="004423E5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bookmarkStart w:id="80" w:name="_Toc411843470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81" w:name="_Toc56581224"/>
      <w:bookmarkStart w:id="82" w:name="_Toc116389145"/>
    </w:p>
    <w:p w14:paraId="5FC0B72D" w14:textId="77777777" w:rsidR="00C960C9" w:rsidRPr="00D62284" w:rsidRDefault="00C960C9" w:rsidP="00C960C9">
      <w:pPr>
        <w:rPr>
          <w:rFonts w:ascii="Museo Sans 300" w:hAnsi="Museo Sans 300"/>
          <w:sz w:val="22"/>
          <w:szCs w:val="22"/>
          <w:lang w:val="es-MX"/>
        </w:rPr>
      </w:pPr>
    </w:p>
    <w:p w14:paraId="7F4035A6" w14:textId="77777777" w:rsidR="00D752AF" w:rsidRPr="00D62284" w:rsidRDefault="00AA7D08" w:rsidP="004423E5">
      <w:pPr>
        <w:pStyle w:val="Ttulo3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>.</w:t>
      </w:r>
      <w:r w:rsidR="00DB11D8" w:rsidRPr="00D62284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D752AF" w:rsidRPr="00D62284">
        <w:rPr>
          <w:rFonts w:ascii="Museo Sans 300" w:hAnsi="Museo Sans 300"/>
          <w:b/>
          <w:sz w:val="22"/>
          <w:szCs w:val="22"/>
          <w:lang w:val="es-MX"/>
        </w:rPr>
        <w:t>Balance global</w:t>
      </w:r>
      <w:bookmarkEnd w:id="81"/>
      <w:bookmarkEnd w:id="82"/>
    </w:p>
    <w:p w14:paraId="5D572E9E" w14:textId="77777777" w:rsidR="00D752AF" w:rsidRPr="00D62284" w:rsidRDefault="00D752A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4A4536A" w14:textId="77777777" w:rsidR="00F077AF" w:rsidRPr="00D62284" w:rsidRDefault="002F28DF" w:rsidP="00F077AF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83" w:name="_Hlk128489714"/>
      <w:bookmarkEnd w:id="80"/>
      <w:r w:rsidRPr="00D62284">
        <w:rPr>
          <w:rFonts w:ascii="Museo Sans 300" w:hAnsi="Museo Sans 300"/>
          <w:sz w:val="22"/>
          <w:szCs w:val="22"/>
          <w:lang w:val="es-MX"/>
        </w:rPr>
        <w:t>Las operaciones financieras consolidadas</w:t>
      </w:r>
      <w:r w:rsidR="007A4225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del SPNF 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sz w:val="22"/>
          <w:szCs w:val="22"/>
          <w:lang w:val="es-MX"/>
        </w:rPr>
        <w:t xml:space="preserve"> 2022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, registr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aron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un</w:t>
      </w:r>
      <w:r w:rsidR="00DB556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3B7A07" w:rsidRPr="00D62284">
        <w:rPr>
          <w:rFonts w:ascii="Museo Sans 300" w:hAnsi="Museo Sans 300"/>
          <w:sz w:val="22"/>
          <w:szCs w:val="22"/>
          <w:lang w:val="es-MX"/>
        </w:rPr>
        <w:t>déficit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 global sin pensiones de </w:t>
      </w:r>
      <w:r w:rsidR="0005223C">
        <w:rPr>
          <w:rFonts w:ascii="Museo Sans 300" w:hAnsi="Museo Sans 300"/>
          <w:sz w:val="22"/>
          <w:szCs w:val="22"/>
          <w:lang w:val="es-MX"/>
        </w:rPr>
        <w:t>-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$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 xml:space="preserve">542.0 </w:t>
      </w:r>
      <w:r w:rsidR="00FB7D8B" w:rsidRPr="00D62284">
        <w:rPr>
          <w:rFonts w:ascii="Museo Sans 300" w:hAnsi="Museo Sans 300"/>
          <w:sz w:val="22"/>
          <w:szCs w:val="22"/>
          <w:lang w:val="es-MX"/>
        </w:rPr>
        <w:t>mi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llones, equivalente a 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1.7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% del PIB; </w:t>
      </w:r>
      <w:r w:rsidR="00F12D56" w:rsidRPr="00D62284">
        <w:rPr>
          <w:rFonts w:ascii="Museo Sans 300" w:hAnsi="Museo Sans 300"/>
          <w:sz w:val="22"/>
          <w:szCs w:val="22"/>
          <w:lang w:val="es-MX"/>
        </w:rPr>
        <w:t xml:space="preserve">resultado </w:t>
      </w:r>
      <w:r w:rsidR="00BE37C9" w:rsidRPr="00D62284">
        <w:rPr>
          <w:rFonts w:ascii="Museo Sans 300" w:hAnsi="Museo Sans 300"/>
          <w:sz w:val="22"/>
          <w:szCs w:val="22"/>
          <w:lang w:val="es-MX"/>
        </w:rPr>
        <w:t>m</w:t>
      </w:r>
      <w:r w:rsidR="003B7A07" w:rsidRPr="00D62284">
        <w:rPr>
          <w:rFonts w:ascii="Museo Sans 300" w:hAnsi="Museo Sans 300"/>
          <w:sz w:val="22"/>
          <w:szCs w:val="22"/>
          <w:lang w:val="es-MX"/>
        </w:rPr>
        <w:t>enor</w:t>
      </w:r>
      <w:r w:rsidR="00BD4F7B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D4983" w:rsidRPr="00D62284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1.9</w:t>
      </w:r>
      <w:r w:rsidR="00ED4983" w:rsidRPr="00D62284">
        <w:rPr>
          <w:rFonts w:ascii="Museo Sans 300" w:hAnsi="Museo Sans 300"/>
          <w:sz w:val="22"/>
          <w:szCs w:val="22"/>
          <w:lang w:val="es-MX"/>
        </w:rPr>
        <w:t xml:space="preserve"> puntos </w:t>
      </w:r>
      <w:r w:rsidR="00DB556C" w:rsidRPr="00D62284">
        <w:rPr>
          <w:rFonts w:ascii="Museo Sans 300" w:hAnsi="Museo Sans 300"/>
          <w:sz w:val="22"/>
          <w:szCs w:val="22"/>
          <w:lang w:val="es-MX"/>
        </w:rPr>
        <w:t xml:space="preserve">del PIB </w:t>
      </w:r>
      <w:r w:rsidR="00F12D56" w:rsidRPr="00D62284">
        <w:rPr>
          <w:rFonts w:ascii="Museo Sans 300" w:hAnsi="Museo Sans 300"/>
          <w:sz w:val="22"/>
          <w:szCs w:val="22"/>
          <w:lang w:val="es-MX"/>
        </w:rPr>
        <w:t>c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on relación al observado en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, producto de un</w:t>
      </w:r>
      <w:r w:rsidR="00FE031E" w:rsidRPr="00D62284">
        <w:rPr>
          <w:rFonts w:ascii="Museo Sans 300" w:hAnsi="Museo Sans 300"/>
          <w:sz w:val="22"/>
          <w:szCs w:val="22"/>
          <w:lang w:val="es-MX"/>
        </w:rPr>
        <w:t xml:space="preserve"> crecimiento m</w:t>
      </w:r>
      <w:r w:rsidR="00BD4F7B" w:rsidRPr="00D62284">
        <w:rPr>
          <w:rFonts w:ascii="Museo Sans 300" w:hAnsi="Museo Sans 300"/>
          <w:sz w:val="22"/>
          <w:szCs w:val="22"/>
          <w:lang w:val="es-MX"/>
        </w:rPr>
        <w:t>ayor</w:t>
      </w:r>
      <w:r w:rsidR="00FE031E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en los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lastRenderedPageBreak/>
        <w:t>ingresos por $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852.4</w:t>
      </w:r>
      <w:r w:rsidR="00C9047A"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CA5904" w:rsidRPr="00D62284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F077AF" w:rsidRPr="00D62284">
        <w:rPr>
          <w:rFonts w:ascii="Museo Sans 300" w:hAnsi="Museo Sans 300"/>
          <w:sz w:val="22"/>
          <w:szCs w:val="22"/>
          <w:lang w:val="es-MX"/>
        </w:rPr>
        <w:t>1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2.1</w:t>
      </w:r>
      <w:r w:rsidR="00CA5904" w:rsidRPr="00D62284">
        <w:rPr>
          <w:rFonts w:ascii="Museo Sans 300" w:hAnsi="Museo Sans 300"/>
          <w:sz w:val="22"/>
          <w:szCs w:val="22"/>
          <w:lang w:val="es-MX"/>
        </w:rPr>
        <w:t>%)</w:t>
      </w:r>
      <w:r w:rsidR="00C9047A" w:rsidRPr="00D62284">
        <w:rPr>
          <w:rFonts w:ascii="Museo Sans 300" w:hAnsi="Museo Sans 300"/>
          <w:sz w:val="22"/>
          <w:szCs w:val="22"/>
          <w:lang w:val="es-MX"/>
        </w:rPr>
        <w:t xml:space="preserve"> y </w:t>
      </w:r>
      <w:r w:rsidR="00F83B36" w:rsidRPr="00D62284">
        <w:rPr>
          <w:rFonts w:ascii="Museo Sans 300" w:hAnsi="Museo Sans 300"/>
          <w:sz w:val="22"/>
          <w:szCs w:val="22"/>
          <w:lang w:val="es-MX"/>
        </w:rPr>
        <w:t>un incremento</w:t>
      </w:r>
      <w:r w:rsidR="00D63A75" w:rsidRPr="00D62284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D62284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en los gastos totales de $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78.9</w:t>
      </w:r>
      <w:r w:rsidR="003C618A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millones</w:t>
      </w:r>
      <w:r w:rsidR="00CA5904" w:rsidRPr="00D62284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0.9</w:t>
      </w:r>
      <w:r w:rsidR="00CA5904" w:rsidRPr="00D62284">
        <w:rPr>
          <w:rFonts w:ascii="Museo Sans 300" w:hAnsi="Museo Sans 300"/>
          <w:sz w:val="22"/>
          <w:szCs w:val="22"/>
          <w:lang w:val="es-MX"/>
        </w:rPr>
        <w:t>%)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. Al incorporar el pago en concepto de pensiones</w:t>
      </w:r>
      <w:r w:rsidR="007A4225" w:rsidRPr="00D62284">
        <w:rPr>
          <w:rFonts w:ascii="Museo Sans 300" w:hAnsi="Museo Sans 300"/>
          <w:sz w:val="22"/>
          <w:szCs w:val="22"/>
          <w:lang w:val="es-MX"/>
        </w:rPr>
        <w:t xml:space="preserve"> (FOP)</w:t>
      </w:r>
      <w:r w:rsidR="00665FCA" w:rsidRPr="00D62284">
        <w:rPr>
          <w:rFonts w:ascii="Museo Sans 300" w:hAnsi="Museo Sans 300"/>
          <w:sz w:val="22"/>
          <w:szCs w:val="22"/>
          <w:lang w:val="es-MX"/>
        </w:rPr>
        <w:t>,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 resultó un déficit global de $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86.3</w:t>
      </w:r>
      <w:r w:rsidR="00834CD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147C" w:rsidRPr="00D62284">
        <w:rPr>
          <w:rFonts w:ascii="Museo Sans 300" w:hAnsi="Museo Sans 300"/>
          <w:sz w:val="22"/>
          <w:szCs w:val="22"/>
          <w:lang w:val="es-MX"/>
        </w:rPr>
        <w:t>millones</w:t>
      </w:r>
      <w:r w:rsidR="0090383E" w:rsidRPr="00D62284">
        <w:rPr>
          <w:rFonts w:ascii="Museo Sans 300" w:hAnsi="Museo Sans 300"/>
          <w:sz w:val="22"/>
          <w:szCs w:val="22"/>
          <w:lang w:val="es-MX"/>
        </w:rPr>
        <w:t>,</w:t>
      </w:r>
      <w:r w:rsidR="002A147C" w:rsidRPr="00D62284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D62284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14194D" w:rsidRPr="00D62284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$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745.9</w:t>
      </w:r>
      <w:r w:rsidR="0061270D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millones al registrado en </w:t>
      </w:r>
      <w:r w:rsidR="00C6558B" w:rsidRPr="00D62284">
        <w:rPr>
          <w:rFonts w:ascii="Museo Sans 300" w:hAnsi="Museo Sans 300"/>
          <w:sz w:val="22"/>
          <w:szCs w:val="22"/>
          <w:lang w:val="es-MX"/>
        </w:rPr>
        <w:t xml:space="preserve">el mismo período de </w:t>
      </w:r>
      <w:r w:rsidR="00581B7E" w:rsidRPr="00D62284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. En términos del PIB </w:t>
      </w:r>
      <w:r w:rsidR="0052116C" w:rsidRPr="00D62284">
        <w:rPr>
          <w:rFonts w:ascii="Museo Sans 300" w:hAnsi="Museo Sans 300"/>
          <w:sz w:val="22"/>
          <w:szCs w:val="22"/>
          <w:lang w:val="es-MX"/>
        </w:rPr>
        <w:t xml:space="preserve">el déficit </w:t>
      </w:r>
      <w:r w:rsidR="006B4FA5" w:rsidRPr="00D62284">
        <w:rPr>
          <w:rFonts w:ascii="Museo Sans 300" w:hAnsi="Museo Sans 300"/>
          <w:sz w:val="22"/>
          <w:szCs w:val="22"/>
          <w:lang w:val="es-MX"/>
        </w:rPr>
        <w:t xml:space="preserve">fiscal 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 xml:space="preserve">fue equivalente a </w:t>
      </w:r>
      <w:r w:rsidR="00137B38" w:rsidRPr="00D62284">
        <w:rPr>
          <w:rFonts w:ascii="Museo Sans 300" w:hAnsi="Museo Sans 300"/>
          <w:sz w:val="22"/>
          <w:szCs w:val="22"/>
          <w:lang w:val="es-MX"/>
        </w:rPr>
        <w:t>-</w:t>
      </w:r>
      <w:r w:rsidR="0006210F" w:rsidRPr="00D62284">
        <w:rPr>
          <w:rFonts w:ascii="Museo Sans 300" w:hAnsi="Museo Sans 300"/>
          <w:sz w:val="22"/>
          <w:szCs w:val="22"/>
          <w:lang w:val="es-MX"/>
        </w:rPr>
        <w:t>2.7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%</w:t>
      </w:r>
      <w:r w:rsidR="00650F9B" w:rsidRPr="00D62284">
        <w:rPr>
          <w:rFonts w:ascii="Museo Sans 300" w:hAnsi="Museo Sans 300"/>
          <w:sz w:val="22"/>
          <w:szCs w:val="22"/>
          <w:lang w:val="es-MX"/>
        </w:rPr>
        <w:t>.</w:t>
      </w:r>
      <w:r w:rsidR="00DB556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bookmarkEnd w:id="83"/>
    <w:p w14:paraId="5F20F88D" w14:textId="77777777" w:rsidR="00665FCA" w:rsidRPr="00D62284" w:rsidRDefault="00665FCA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EEC1A8F" w14:textId="77777777" w:rsidR="003F74EF" w:rsidRPr="00D62284" w:rsidRDefault="003F74EF" w:rsidP="0049611D">
      <w:pPr>
        <w:rPr>
          <w:rFonts w:ascii="Museo Sans 300" w:hAnsi="Museo Sans 300"/>
          <w:sz w:val="22"/>
          <w:szCs w:val="22"/>
          <w:lang w:val="es-MX"/>
        </w:rPr>
      </w:pPr>
    </w:p>
    <w:p w14:paraId="12C3918E" w14:textId="77777777" w:rsidR="000F7857" w:rsidRPr="00D62284" w:rsidRDefault="00DA7944" w:rsidP="003F74EF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Gráfico 1</w:t>
      </w:r>
      <w:r w:rsidR="003F74EF" w:rsidRPr="00D62284">
        <w:rPr>
          <w:rFonts w:ascii="Museo Sans 300" w:hAnsi="Museo Sans 300"/>
          <w:sz w:val="22"/>
          <w:szCs w:val="22"/>
          <w:lang w:val="es-MX"/>
        </w:rPr>
        <w:t>0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Balance Global con pensiones del SPNF a </w:t>
      </w:r>
      <w:r w:rsidR="00712719" w:rsidRPr="00D62284">
        <w:rPr>
          <w:rFonts w:ascii="Museo Sans 300" w:hAnsi="Museo Sans 300"/>
          <w:sz w:val="22"/>
          <w:szCs w:val="22"/>
          <w:lang w:val="es-MX"/>
        </w:rPr>
        <w:t>diciembre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2014-202</w:t>
      </w:r>
      <w:r w:rsidR="00F4033D" w:rsidRPr="00D62284">
        <w:rPr>
          <w:rFonts w:ascii="Museo Sans 300" w:hAnsi="Museo Sans 300"/>
          <w:sz w:val="22"/>
          <w:szCs w:val="22"/>
          <w:lang w:val="es-MX"/>
        </w:rPr>
        <w:t>2</w:t>
      </w:r>
    </w:p>
    <w:p w14:paraId="73B3B180" w14:textId="77777777" w:rsidR="00DB11D8" w:rsidRPr="00D62284" w:rsidRDefault="00DB11D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4FAD6F30" w14:textId="77777777" w:rsidR="00622AAA" w:rsidRPr="00D62284" w:rsidRDefault="006C06FA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3B8A3145" wp14:editId="3F90FF2E">
            <wp:extent cx="5008728" cy="3003194"/>
            <wp:effectExtent l="0" t="0" r="1905" b="69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04" cy="30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6FA9" w14:textId="77777777" w:rsidR="00DB11D8" w:rsidRPr="00D62284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14:paraId="58BB7D76" w14:textId="77777777" w:rsidR="00DB11D8" w:rsidRPr="00D62284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14:paraId="2BC8F441" w14:textId="77777777" w:rsidR="0049611D" w:rsidRPr="00D62284" w:rsidRDefault="0049611D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84" w:name="_Toc56581225"/>
    </w:p>
    <w:p w14:paraId="574F3A07" w14:textId="77777777" w:rsidR="0049611D" w:rsidRPr="00D62284" w:rsidRDefault="0049611D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5720546" w14:textId="77777777" w:rsidR="0049611D" w:rsidRPr="00D62284" w:rsidRDefault="0049611D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2410307" w14:textId="77777777" w:rsidR="00B53EC3" w:rsidRPr="00D62284" w:rsidRDefault="00B53EC3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31E1104" w14:textId="77777777" w:rsidR="00B53EC3" w:rsidRPr="00D62284" w:rsidRDefault="00B53EC3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37F8864" w14:textId="77777777" w:rsidR="00B53EC3" w:rsidRPr="00D62284" w:rsidRDefault="00B53EC3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EA0382C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4397D3A4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329F0462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1977FA39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2AC70F49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31A22E4D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35D6FE17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13DE8217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5A3155A4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31AF51A4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2DDBCAFC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6406E72F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77DFD468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60E48DEB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3B255F31" w14:textId="77777777" w:rsidR="00E26DEC" w:rsidRPr="00D62284" w:rsidRDefault="00E26DEC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23C1A714" w14:textId="77777777" w:rsidR="003B7A07" w:rsidRPr="00D62284" w:rsidRDefault="003B7A07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573380A8" w14:textId="77777777" w:rsidR="003B7A07" w:rsidRPr="00D62284" w:rsidRDefault="003B7A07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6DDB976D" w14:textId="77777777" w:rsidR="003B7A07" w:rsidRPr="00D62284" w:rsidRDefault="003B7A07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1C4D2E1B" w14:textId="77777777" w:rsidR="003B7A07" w:rsidRPr="00D62284" w:rsidRDefault="003B7A07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57EE7EE0" w14:textId="77777777" w:rsidR="00E66ABF" w:rsidRPr="00D62284" w:rsidRDefault="00E66ABF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738632A3" w14:textId="77777777" w:rsidR="00E66ABF" w:rsidRPr="00D62284" w:rsidRDefault="00E66ABF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7E517A31" w14:textId="77777777" w:rsidR="00E66ABF" w:rsidRPr="00D62284" w:rsidRDefault="00E66ABF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16C9A80F" w14:textId="77777777" w:rsidR="00E66ABF" w:rsidRPr="00D62284" w:rsidRDefault="00E66ABF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5140FD79" w14:textId="77777777" w:rsidR="00E66ABF" w:rsidRPr="00D62284" w:rsidRDefault="00E66ABF" w:rsidP="00E26DEC">
      <w:pPr>
        <w:rPr>
          <w:rFonts w:ascii="Museo Sans 300" w:hAnsi="Museo Sans 300"/>
          <w:sz w:val="22"/>
          <w:szCs w:val="22"/>
          <w:lang w:val="es-MX"/>
        </w:rPr>
      </w:pPr>
    </w:p>
    <w:p w14:paraId="4548E35F" w14:textId="77777777" w:rsidR="00B53EC3" w:rsidRPr="00D62284" w:rsidRDefault="00B53EC3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8479A3E" w14:textId="77777777" w:rsidR="00BE54F5" w:rsidRPr="00D62284" w:rsidRDefault="00AA7D08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85" w:name="_Toc116389146"/>
      <w:r w:rsidRPr="00D62284">
        <w:rPr>
          <w:rFonts w:ascii="Museo Sans 300" w:hAnsi="Museo Sans 300"/>
          <w:b/>
          <w:sz w:val="22"/>
          <w:szCs w:val="22"/>
          <w:lang w:val="es-MX"/>
        </w:rPr>
        <w:t>5</w:t>
      </w:r>
      <w:r w:rsidR="004423E5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03ED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NEXOS</w:t>
      </w:r>
      <w:bookmarkEnd w:id="84"/>
      <w:bookmarkEnd w:id="85"/>
    </w:p>
    <w:p w14:paraId="0DF4F120" w14:textId="77777777" w:rsidR="00620488" w:rsidRPr="00D62284" w:rsidRDefault="00620488" w:rsidP="004A685A">
      <w:pPr>
        <w:jc w:val="both"/>
        <w:rPr>
          <w:rFonts w:ascii="Museo Sans 300" w:hAnsi="Museo Sans 300"/>
          <w:b/>
          <w:sz w:val="22"/>
          <w:szCs w:val="22"/>
          <w:lang w:val="es-MX"/>
        </w:rPr>
      </w:pPr>
    </w:p>
    <w:p w14:paraId="08D31FBC" w14:textId="77777777" w:rsidR="00B80A8E" w:rsidRPr="00D62284" w:rsidRDefault="00B80A8E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675313C" w14:textId="77777777" w:rsidR="00650F9B" w:rsidRPr="00D62284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8EE9EA3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548DD3B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75C10C1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1FB7A60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792B2E7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1E635D7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7AC3E7D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5E622E4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8D56ABA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E6C62F9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F1DB89C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23FFD76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BEB419A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B409175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718FE43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4DF1220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CC741E6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337DA16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0B66D6A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19032CF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3F9E49F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4C49529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49B00DE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97CF640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9FFD887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722A6BB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7633F29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57AB899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008A1F8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63A7F82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D3A84F4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90B5F9A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45F846B" w14:textId="77777777" w:rsidR="00E26DEC" w:rsidRPr="00D62284" w:rsidRDefault="00E26DE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F67BECE" w14:textId="77777777" w:rsidR="0071275A" w:rsidRPr="00D62284" w:rsidRDefault="0071275A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A0FDF0B" w14:textId="77777777" w:rsidR="00620488" w:rsidRPr="00D62284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1: Ejecución del SPNF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-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042C94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391D19" w:rsidRPr="00D62284">
        <w:rPr>
          <w:rFonts w:ascii="Museo Sans 300" w:hAnsi="Museo Sans 300"/>
          <w:b/>
          <w:sz w:val="22"/>
          <w:szCs w:val="22"/>
          <w:lang w:val="es-MX"/>
        </w:rPr>
        <w:t>1</w:t>
      </w:r>
    </w:p>
    <w:p w14:paraId="5DEC8CB9" w14:textId="77777777" w:rsidR="00620488" w:rsidRPr="00D62284" w:rsidRDefault="0061270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</w:rPr>
        <w:t xml:space="preserve"> </w:t>
      </w:r>
      <w:r w:rsidR="000B748E" w:rsidRPr="00D62284">
        <w:rPr>
          <w:rFonts w:ascii="Museo Sans 300" w:hAnsi="Museo Sans 300"/>
          <w:sz w:val="22"/>
          <w:szCs w:val="22"/>
        </w:rPr>
        <w:t xml:space="preserve"> 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(Millones de $)</w:t>
      </w:r>
    </w:p>
    <w:p w14:paraId="56DF8C58" w14:textId="77777777" w:rsidR="00FB2ADD" w:rsidRPr="00D62284" w:rsidRDefault="00E70B5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E70B58">
        <w:rPr>
          <w:noProof/>
        </w:rPr>
        <w:drawing>
          <wp:inline distT="0" distB="0" distL="0" distR="0" wp14:anchorId="389A5CC1" wp14:editId="14E5382D">
            <wp:extent cx="5971540" cy="714136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1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7DE77" w14:textId="77777777" w:rsidR="0061270D" w:rsidRPr="00D62284" w:rsidRDefault="0061270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3BE548D" w14:textId="77777777" w:rsidR="00350D29" w:rsidRPr="00D62284" w:rsidRDefault="00350D2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7BE461E" w14:textId="77777777" w:rsidR="00926789" w:rsidRPr="00D62284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994BCC6" w14:textId="77777777" w:rsidR="00926789" w:rsidRPr="00D62284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A1AC387" w14:textId="77777777" w:rsidR="00776003" w:rsidRPr="00D62284" w:rsidRDefault="00776003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FCC1CCF" w14:textId="77777777" w:rsidR="00776003" w:rsidRPr="00D62284" w:rsidRDefault="00776003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47A1A54" w14:textId="77777777" w:rsidR="00620488" w:rsidRPr="00D62284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Anexo 2: </w:t>
      </w:r>
      <w:r w:rsidR="0052116C" w:rsidRPr="00D62284">
        <w:rPr>
          <w:rFonts w:ascii="Museo Sans 300" w:hAnsi="Museo Sans 300"/>
          <w:b/>
          <w:sz w:val="22"/>
          <w:szCs w:val="22"/>
          <w:lang w:val="es-MX"/>
        </w:rPr>
        <w:t xml:space="preserve">Ejecución del SPNF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  <w:r w:rsidR="0052116C" w:rsidRPr="00D62284">
        <w:rPr>
          <w:rFonts w:ascii="Museo Sans 300" w:hAnsi="Museo Sans 300"/>
          <w:b/>
          <w:sz w:val="22"/>
          <w:szCs w:val="22"/>
          <w:lang w:val="es-MX"/>
        </w:rPr>
        <w:t>-</w:t>
      </w:r>
      <w:r w:rsidR="00042C94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E5417D" w:rsidRPr="00D62284">
        <w:rPr>
          <w:rFonts w:ascii="Museo Sans 300" w:hAnsi="Museo Sans 300"/>
          <w:b/>
          <w:sz w:val="22"/>
          <w:szCs w:val="22"/>
          <w:lang w:val="es-MX"/>
        </w:rPr>
        <w:t>1</w:t>
      </w:r>
    </w:p>
    <w:p w14:paraId="5B50B5FF" w14:textId="77777777" w:rsidR="00620488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(Porcentajes del PIB)</w:t>
      </w:r>
    </w:p>
    <w:p w14:paraId="4262DB4B" w14:textId="77777777" w:rsidR="00E70B58" w:rsidRPr="00D62284" w:rsidRDefault="00E70B5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583960C" w14:textId="77777777" w:rsidR="00FB2ADD" w:rsidRPr="00D62284" w:rsidRDefault="00E70B5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E70B58">
        <w:rPr>
          <w:noProof/>
        </w:rPr>
        <w:drawing>
          <wp:inline distT="0" distB="0" distL="0" distR="0" wp14:anchorId="38A8C494" wp14:editId="3D8A3E61">
            <wp:extent cx="4486019" cy="63735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41" cy="64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4758" w14:textId="77777777" w:rsidR="00F02ABE" w:rsidRPr="00D62284" w:rsidRDefault="00F02AB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55DAD8B" w14:textId="77777777" w:rsidR="003F74EF" w:rsidRPr="00D62284" w:rsidRDefault="003F74E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5D79EA3" w14:textId="77777777" w:rsidR="003F74EF" w:rsidRDefault="003F74E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BEDB7B1" w14:textId="77777777" w:rsidR="0075008C" w:rsidRDefault="0075008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9ACF164" w14:textId="77777777" w:rsidR="00C855BA" w:rsidRDefault="00C855BA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AB57F56" w14:textId="77777777" w:rsidR="0075008C" w:rsidRPr="00D62284" w:rsidRDefault="0075008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FE309BE" w14:textId="77777777" w:rsidR="005B023F" w:rsidRPr="00D62284" w:rsidRDefault="005B023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3F98F78" w14:textId="77777777" w:rsidR="00620488" w:rsidRPr="00D62284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>Anexo 3</w:t>
      </w:r>
      <w:r w:rsidR="003D10A0" w:rsidRPr="00D62284">
        <w:rPr>
          <w:rFonts w:ascii="Museo Sans 300" w:hAnsi="Museo Sans 300"/>
          <w:b/>
          <w:sz w:val="22"/>
          <w:szCs w:val="22"/>
          <w:lang w:val="es-MX"/>
        </w:rPr>
        <w:t>: Ingresos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AA301A" w:rsidRPr="00D62284">
        <w:rPr>
          <w:rFonts w:ascii="Museo Sans 300" w:hAnsi="Museo Sans 300"/>
          <w:b/>
          <w:sz w:val="22"/>
          <w:szCs w:val="22"/>
          <w:lang w:val="es-MX"/>
        </w:rPr>
        <w:t xml:space="preserve">Totales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del </w:t>
      </w:r>
      <w:r w:rsidR="00AA301A" w:rsidRPr="00D62284">
        <w:rPr>
          <w:rFonts w:ascii="Museo Sans 300" w:hAnsi="Museo Sans 300"/>
          <w:b/>
          <w:sz w:val="22"/>
          <w:szCs w:val="22"/>
          <w:lang w:val="es-MX"/>
        </w:rPr>
        <w:t xml:space="preserve">Sector </w:t>
      </w:r>
      <w:r w:rsidR="00DB11D8" w:rsidRPr="00D62284">
        <w:rPr>
          <w:rFonts w:ascii="Museo Sans 300" w:hAnsi="Museo Sans 300"/>
          <w:b/>
          <w:sz w:val="22"/>
          <w:szCs w:val="22"/>
          <w:lang w:val="es-MX"/>
        </w:rPr>
        <w:t>P</w:t>
      </w:r>
      <w:r w:rsidR="00AA301A" w:rsidRPr="00D62284">
        <w:rPr>
          <w:rFonts w:ascii="Museo Sans 300" w:hAnsi="Museo Sans 300"/>
          <w:b/>
          <w:sz w:val="22"/>
          <w:szCs w:val="22"/>
          <w:lang w:val="es-MX"/>
        </w:rPr>
        <w:t>úblico No Financiero</w:t>
      </w:r>
      <w:r w:rsidR="000A0064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 2022</w:t>
      </w:r>
    </w:p>
    <w:p w14:paraId="7801D970" w14:textId="77777777" w:rsidR="00620488" w:rsidRPr="00D62284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(Millones $)</w:t>
      </w:r>
    </w:p>
    <w:p w14:paraId="79FF9EA3" w14:textId="77777777" w:rsidR="00936D5E" w:rsidRPr="00D62284" w:rsidRDefault="00936D5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E75C448" w14:textId="77777777" w:rsidR="00620488" w:rsidRPr="00D62284" w:rsidRDefault="005B023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7B87D631" wp14:editId="25311688">
            <wp:extent cx="5971540" cy="4401003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DBBD" w14:textId="77777777" w:rsidR="00620488" w:rsidRPr="00D62284" w:rsidRDefault="0062048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DB5DCD7" w14:textId="77777777" w:rsidR="00C87D60" w:rsidRPr="00D62284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4E6159F" w14:textId="77777777" w:rsidR="00C87D60" w:rsidRPr="00D62284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9D855B9" w14:textId="77777777" w:rsidR="00C87D60" w:rsidRPr="00D62284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B5D4F55" w14:textId="77777777" w:rsidR="00C87D60" w:rsidRPr="00D62284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5B94166" w14:textId="77777777" w:rsidR="00C87D60" w:rsidRPr="00D62284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F0ED7E0" w14:textId="77777777" w:rsidR="00DC7D4F" w:rsidRPr="00D62284" w:rsidRDefault="00DC7D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77C5C7B" w14:textId="77777777" w:rsidR="00351330" w:rsidRPr="00D62284" w:rsidRDefault="0035133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8F4A5B1" w14:textId="77777777" w:rsidR="000B7385" w:rsidRPr="00D62284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C8523F6" w14:textId="77777777" w:rsidR="000B7385" w:rsidRPr="00D62284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AC151BD" w14:textId="77777777" w:rsidR="000B7385" w:rsidRPr="00D62284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5696A12" w14:textId="77777777" w:rsidR="000B7385" w:rsidRPr="00D62284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8170709" w14:textId="77777777" w:rsidR="004552A7" w:rsidRPr="00D62284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675BD96" w14:textId="77777777" w:rsidR="004552A7" w:rsidRPr="00D62284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DF6EAC0" w14:textId="77777777" w:rsidR="004552A7" w:rsidRPr="00D62284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49897A0" w14:textId="77777777" w:rsidR="004552A7" w:rsidRPr="00D62284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CFDA0BB" w14:textId="77777777" w:rsidR="000B7385" w:rsidRPr="00D62284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90BE3FA" w14:textId="77777777" w:rsidR="002207BF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835B094" w14:textId="77777777" w:rsidR="00E70B58" w:rsidRPr="00D62284" w:rsidRDefault="00E70B5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EC417E6" w14:textId="77777777" w:rsidR="002207BF" w:rsidRPr="00D62284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03D5AF65" w14:textId="77777777" w:rsidR="00C87D60" w:rsidRPr="00D62284" w:rsidRDefault="00C87D60" w:rsidP="00EC7984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4: Ejecución de la Inversión Pública del SPNF </w:t>
      </w:r>
      <w:r w:rsidR="006A326C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712719" w:rsidRPr="00D62284">
        <w:rPr>
          <w:rFonts w:ascii="Museo Sans 300" w:hAnsi="Museo Sans 300"/>
          <w:b/>
          <w:sz w:val="22"/>
          <w:szCs w:val="22"/>
          <w:lang w:val="es-MX"/>
        </w:rPr>
        <w:t>diciembre</w:t>
      </w:r>
      <w:r w:rsidR="006A326C" w:rsidRPr="00D62284">
        <w:rPr>
          <w:rFonts w:ascii="Museo Sans 300" w:hAnsi="Museo Sans 300"/>
          <w:b/>
          <w:sz w:val="22"/>
          <w:szCs w:val="22"/>
          <w:lang w:val="es-MX"/>
        </w:rPr>
        <w:t xml:space="preserve"> de 2022</w:t>
      </w:r>
    </w:p>
    <w:p w14:paraId="37B66B31" w14:textId="77777777" w:rsidR="003B6415" w:rsidRPr="00D62284" w:rsidRDefault="003B6415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US$)</w:t>
      </w:r>
    </w:p>
    <w:bookmarkEnd w:id="4"/>
    <w:bookmarkEnd w:id="59"/>
    <w:p w14:paraId="6C3B04CC" w14:textId="77777777" w:rsidR="00936D5E" w:rsidRPr="00D62284" w:rsidRDefault="005B023F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673A1547" wp14:editId="3A4F35A3">
            <wp:extent cx="4285397" cy="7957379"/>
            <wp:effectExtent l="0" t="0" r="1270" b="571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06" cy="798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D5E" w:rsidRPr="00D62284" w:rsidSect="00D703ED">
      <w:footerReference w:type="default" r:id="rId27"/>
      <w:pgSz w:w="12240" w:h="15840"/>
      <w:pgMar w:top="1418" w:right="1418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0B27" w14:textId="77777777" w:rsidR="002321F4" w:rsidRDefault="002321F4" w:rsidP="00610721">
      <w:r>
        <w:separator/>
      </w:r>
    </w:p>
  </w:endnote>
  <w:endnote w:type="continuationSeparator" w:id="0">
    <w:p w14:paraId="788AA66D" w14:textId="77777777" w:rsidR="002321F4" w:rsidRDefault="002321F4" w:rsidP="0061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5E2A" w14:textId="77777777" w:rsidR="003C2167" w:rsidRDefault="003C216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CD0120">
      <w:rPr>
        <w:noProof/>
        <w:lang w:val="es-ES"/>
      </w:rPr>
      <w:t>26</w:t>
    </w:r>
    <w:r>
      <w:fldChar w:fldCharType="end"/>
    </w:r>
  </w:p>
  <w:p w14:paraId="109F6B2B" w14:textId="77777777" w:rsidR="003C2167" w:rsidRDefault="003C2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97D83" w14:textId="77777777" w:rsidR="002321F4" w:rsidRDefault="002321F4" w:rsidP="00610721">
      <w:r>
        <w:separator/>
      </w:r>
    </w:p>
  </w:footnote>
  <w:footnote w:type="continuationSeparator" w:id="0">
    <w:p w14:paraId="77FC5BAE" w14:textId="77777777" w:rsidR="002321F4" w:rsidRDefault="002321F4" w:rsidP="00610721">
      <w:r>
        <w:continuationSeparator/>
      </w:r>
    </w:p>
  </w:footnote>
  <w:footnote w:id="1">
    <w:p w14:paraId="312651E0" w14:textId="77777777" w:rsidR="0018549A" w:rsidRDefault="0018549A" w:rsidP="0018549A">
      <w:pPr>
        <w:pStyle w:val="Textonotapie"/>
      </w:pPr>
      <w:r w:rsidRPr="00733EC3">
        <w:rPr>
          <w:rStyle w:val="Refdenotaalpie"/>
          <w:rFonts w:ascii="Calibri" w:hAnsi="Calibri" w:cs="Calibri"/>
          <w:i/>
        </w:rPr>
        <w:footnoteRef/>
      </w:r>
      <w:r w:rsidRPr="00733EC3">
        <w:rPr>
          <w:rFonts w:ascii="Calibri" w:hAnsi="Calibri" w:cs="Calibri"/>
          <w:i/>
        </w:rPr>
        <w:t xml:space="preserve"> Este valor incluye rollover</w:t>
      </w:r>
      <w:r>
        <w:rPr>
          <w:rFonts w:ascii="Calibri" w:hAnsi="Calibri" w:cs="Calibri"/>
          <w:i/>
        </w:rPr>
        <w:t>s</w:t>
      </w:r>
      <w:r w:rsidRPr="00733EC3">
        <w:rPr>
          <w:rFonts w:ascii="Calibri" w:hAnsi="Calibri" w:cs="Calibri"/>
          <w:i/>
        </w:rPr>
        <w:t xml:space="preserve"> realizados durante el período indicado</w:t>
      </w:r>
      <w:r>
        <w:t>.</w:t>
      </w:r>
    </w:p>
  </w:footnote>
  <w:footnote w:id="2">
    <w:p w14:paraId="261FBF0A" w14:textId="77777777" w:rsidR="003C2167" w:rsidRPr="00C7623F" w:rsidRDefault="003C2167" w:rsidP="005B3920">
      <w:pPr>
        <w:pStyle w:val="Textonotapie"/>
        <w:rPr>
          <w:lang w:val="es-SV"/>
        </w:rPr>
      </w:pPr>
      <w:r>
        <w:rPr>
          <w:rStyle w:val="Refdenotaalpie"/>
        </w:rPr>
        <w:footnoteRef/>
      </w:r>
      <w:r>
        <w:t xml:space="preserve"> </w:t>
      </w:r>
      <w:r w:rsidRPr="00C7623F">
        <w:rPr>
          <w:rFonts w:ascii="Candara" w:hAnsi="Candara"/>
          <w:i/>
        </w:rPr>
        <w:t>excluye el pago de intereses de la deuda pública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32"/>
    <w:multiLevelType w:val="hybridMultilevel"/>
    <w:tmpl w:val="AAB0A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02"/>
    <w:multiLevelType w:val="hybridMultilevel"/>
    <w:tmpl w:val="A6BC2F18"/>
    <w:lvl w:ilvl="0" w:tplc="8E9A18B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395"/>
    <w:multiLevelType w:val="hybridMultilevel"/>
    <w:tmpl w:val="DF14B9F6"/>
    <w:lvl w:ilvl="0" w:tplc="CC30CB54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BB"/>
    <w:multiLevelType w:val="hybridMultilevel"/>
    <w:tmpl w:val="6298C25E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2BB2911"/>
    <w:multiLevelType w:val="hybridMultilevel"/>
    <w:tmpl w:val="F90C0182"/>
    <w:lvl w:ilvl="0" w:tplc="4E36E7EC">
      <w:start w:val="2"/>
      <w:numFmt w:val="bullet"/>
      <w:lvlText w:val="-"/>
      <w:lvlJc w:val="left"/>
      <w:pPr>
        <w:ind w:left="305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5" w15:restartNumberingAfterBreak="0">
    <w:nsid w:val="240F0F22"/>
    <w:multiLevelType w:val="hybridMultilevel"/>
    <w:tmpl w:val="CC28AE1A"/>
    <w:lvl w:ilvl="0" w:tplc="DE96AF4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357"/>
    <w:multiLevelType w:val="hybridMultilevel"/>
    <w:tmpl w:val="FD8ECF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8F4"/>
    <w:multiLevelType w:val="hybridMultilevel"/>
    <w:tmpl w:val="D4A43B78"/>
    <w:lvl w:ilvl="0" w:tplc="1B5AA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49"/>
    <w:multiLevelType w:val="hybridMultilevel"/>
    <w:tmpl w:val="8AA6A6F0"/>
    <w:lvl w:ilvl="0" w:tplc="440A0017">
      <w:start w:val="1"/>
      <w:numFmt w:val="lowerLetter"/>
      <w:lvlText w:val="%1)"/>
      <w:lvlJc w:val="left"/>
      <w:pPr>
        <w:ind w:left="786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70A0"/>
    <w:multiLevelType w:val="hybridMultilevel"/>
    <w:tmpl w:val="CDFCB7C0"/>
    <w:lvl w:ilvl="0" w:tplc="4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57E389F"/>
    <w:multiLevelType w:val="hybridMultilevel"/>
    <w:tmpl w:val="8402E16C"/>
    <w:lvl w:ilvl="0" w:tplc="4314EC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68704B"/>
    <w:multiLevelType w:val="multilevel"/>
    <w:tmpl w:val="57BAFE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A2745"/>
    <w:multiLevelType w:val="hybridMultilevel"/>
    <w:tmpl w:val="BEDC7E22"/>
    <w:lvl w:ilvl="0" w:tplc="D11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E1"/>
    <w:multiLevelType w:val="hybridMultilevel"/>
    <w:tmpl w:val="7E8A0978"/>
    <w:lvl w:ilvl="0" w:tplc="98F0C3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40A0019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5A1B1F"/>
    <w:multiLevelType w:val="hybridMultilevel"/>
    <w:tmpl w:val="31AAB91E"/>
    <w:lvl w:ilvl="0" w:tplc="440A0017">
      <w:start w:val="1"/>
      <w:numFmt w:val="lowerLetter"/>
      <w:lvlText w:val="%1)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32790"/>
    <w:multiLevelType w:val="hybridMultilevel"/>
    <w:tmpl w:val="C680A566"/>
    <w:lvl w:ilvl="0" w:tplc="DA3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3AD1"/>
    <w:multiLevelType w:val="hybridMultilevel"/>
    <w:tmpl w:val="548E3404"/>
    <w:lvl w:ilvl="0" w:tplc="E710CC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46B4"/>
    <w:multiLevelType w:val="hybridMultilevel"/>
    <w:tmpl w:val="185CFC94"/>
    <w:lvl w:ilvl="0" w:tplc="594EA218">
      <w:numFmt w:val="bullet"/>
      <w:lvlText w:val="-"/>
      <w:lvlJc w:val="left"/>
      <w:pPr>
        <w:ind w:left="3675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9" w15:restartNumberingAfterBreak="0">
    <w:nsid w:val="76003CB1"/>
    <w:multiLevelType w:val="multilevel"/>
    <w:tmpl w:val="A62E9E88"/>
    <w:lvl w:ilvl="0">
      <w:start w:val="1"/>
      <w:numFmt w:val="decimal"/>
      <w:lvlRestart w:val="0"/>
      <w:pStyle w:val="Outline1L1"/>
      <w:lvlText w:val="%1."/>
      <w:lvlJc w:val="left"/>
      <w:pPr>
        <w:tabs>
          <w:tab w:val="num" w:pos="2139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Outline1L2"/>
      <w:lvlText w:val="%2."/>
      <w:lvlJc w:val="left"/>
      <w:pPr>
        <w:tabs>
          <w:tab w:val="num" w:pos="1531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Outline1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pStyle w:val="Outline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Outline1L5"/>
      <w:lvlText w:val="(%5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Outline1L6"/>
      <w:lvlText w:val="(%6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78954222"/>
    <w:multiLevelType w:val="hybridMultilevel"/>
    <w:tmpl w:val="3EFA8EDA"/>
    <w:lvl w:ilvl="0" w:tplc="18280B5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F5"/>
    <w:rsid w:val="0000234B"/>
    <w:rsid w:val="00002A15"/>
    <w:rsid w:val="00003DBE"/>
    <w:rsid w:val="00003E71"/>
    <w:rsid w:val="000044A6"/>
    <w:rsid w:val="00004AC1"/>
    <w:rsid w:val="00005394"/>
    <w:rsid w:val="00005DE7"/>
    <w:rsid w:val="000060C4"/>
    <w:rsid w:val="0000636C"/>
    <w:rsid w:val="0000767E"/>
    <w:rsid w:val="00007F40"/>
    <w:rsid w:val="000107EC"/>
    <w:rsid w:val="000125BF"/>
    <w:rsid w:val="000129CE"/>
    <w:rsid w:val="00013FBA"/>
    <w:rsid w:val="00014440"/>
    <w:rsid w:val="00014666"/>
    <w:rsid w:val="0001700F"/>
    <w:rsid w:val="00021910"/>
    <w:rsid w:val="00024EB8"/>
    <w:rsid w:val="0002562B"/>
    <w:rsid w:val="00026278"/>
    <w:rsid w:val="00026371"/>
    <w:rsid w:val="0003199D"/>
    <w:rsid w:val="00031C51"/>
    <w:rsid w:val="00032F0C"/>
    <w:rsid w:val="00033BDB"/>
    <w:rsid w:val="000350BD"/>
    <w:rsid w:val="00035936"/>
    <w:rsid w:val="000368FE"/>
    <w:rsid w:val="00036A8F"/>
    <w:rsid w:val="00036C58"/>
    <w:rsid w:val="00036F93"/>
    <w:rsid w:val="00042C94"/>
    <w:rsid w:val="00044088"/>
    <w:rsid w:val="00044273"/>
    <w:rsid w:val="00045C77"/>
    <w:rsid w:val="00046DCB"/>
    <w:rsid w:val="00046F1C"/>
    <w:rsid w:val="00047EAE"/>
    <w:rsid w:val="00050142"/>
    <w:rsid w:val="000504B7"/>
    <w:rsid w:val="00050721"/>
    <w:rsid w:val="00051CE0"/>
    <w:rsid w:val="00051DD1"/>
    <w:rsid w:val="0005223C"/>
    <w:rsid w:val="000526E2"/>
    <w:rsid w:val="00055088"/>
    <w:rsid w:val="00055C6D"/>
    <w:rsid w:val="000563D5"/>
    <w:rsid w:val="0005706F"/>
    <w:rsid w:val="00057584"/>
    <w:rsid w:val="00057E16"/>
    <w:rsid w:val="0006008B"/>
    <w:rsid w:val="0006124F"/>
    <w:rsid w:val="0006210F"/>
    <w:rsid w:val="00063635"/>
    <w:rsid w:val="000655D5"/>
    <w:rsid w:val="00065616"/>
    <w:rsid w:val="00067A82"/>
    <w:rsid w:val="0007071E"/>
    <w:rsid w:val="00071875"/>
    <w:rsid w:val="00072BB0"/>
    <w:rsid w:val="0007316A"/>
    <w:rsid w:val="000737F7"/>
    <w:rsid w:val="00073DF6"/>
    <w:rsid w:val="00073ED0"/>
    <w:rsid w:val="00074856"/>
    <w:rsid w:val="000766A1"/>
    <w:rsid w:val="00076DB9"/>
    <w:rsid w:val="00077245"/>
    <w:rsid w:val="0007724F"/>
    <w:rsid w:val="00077425"/>
    <w:rsid w:val="00080493"/>
    <w:rsid w:val="0008095D"/>
    <w:rsid w:val="00080BF7"/>
    <w:rsid w:val="00081874"/>
    <w:rsid w:val="000827C3"/>
    <w:rsid w:val="00083368"/>
    <w:rsid w:val="000850BF"/>
    <w:rsid w:val="00085376"/>
    <w:rsid w:val="00085CF5"/>
    <w:rsid w:val="00090A01"/>
    <w:rsid w:val="00091CEA"/>
    <w:rsid w:val="00091E47"/>
    <w:rsid w:val="00092055"/>
    <w:rsid w:val="00092B07"/>
    <w:rsid w:val="000932FA"/>
    <w:rsid w:val="000933AC"/>
    <w:rsid w:val="000938EC"/>
    <w:rsid w:val="000941DF"/>
    <w:rsid w:val="000947A2"/>
    <w:rsid w:val="00095A8C"/>
    <w:rsid w:val="000962EE"/>
    <w:rsid w:val="000A0064"/>
    <w:rsid w:val="000A05C1"/>
    <w:rsid w:val="000A099C"/>
    <w:rsid w:val="000A1ECC"/>
    <w:rsid w:val="000A36F3"/>
    <w:rsid w:val="000A43ED"/>
    <w:rsid w:val="000A4F43"/>
    <w:rsid w:val="000A6355"/>
    <w:rsid w:val="000A6A22"/>
    <w:rsid w:val="000B0C19"/>
    <w:rsid w:val="000B0EA6"/>
    <w:rsid w:val="000B1666"/>
    <w:rsid w:val="000B1B60"/>
    <w:rsid w:val="000B28C1"/>
    <w:rsid w:val="000B2D4F"/>
    <w:rsid w:val="000B31AE"/>
    <w:rsid w:val="000B32B3"/>
    <w:rsid w:val="000B427B"/>
    <w:rsid w:val="000B42D8"/>
    <w:rsid w:val="000B4C23"/>
    <w:rsid w:val="000B5129"/>
    <w:rsid w:val="000B601E"/>
    <w:rsid w:val="000B6214"/>
    <w:rsid w:val="000B7219"/>
    <w:rsid w:val="000B7385"/>
    <w:rsid w:val="000B748E"/>
    <w:rsid w:val="000B7871"/>
    <w:rsid w:val="000C0647"/>
    <w:rsid w:val="000C08C9"/>
    <w:rsid w:val="000C0E74"/>
    <w:rsid w:val="000C2D4E"/>
    <w:rsid w:val="000C47AE"/>
    <w:rsid w:val="000C6FC2"/>
    <w:rsid w:val="000C7415"/>
    <w:rsid w:val="000C7ECF"/>
    <w:rsid w:val="000D0149"/>
    <w:rsid w:val="000D0EF9"/>
    <w:rsid w:val="000D207D"/>
    <w:rsid w:val="000D2121"/>
    <w:rsid w:val="000D3C2B"/>
    <w:rsid w:val="000D3EF4"/>
    <w:rsid w:val="000D3F00"/>
    <w:rsid w:val="000D45B5"/>
    <w:rsid w:val="000D576E"/>
    <w:rsid w:val="000D61F4"/>
    <w:rsid w:val="000D7396"/>
    <w:rsid w:val="000E0CCD"/>
    <w:rsid w:val="000E1361"/>
    <w:rsid w:val="000E3D52"/>
    <w:rsid w:val="000E40ED"/>
    <w:rsid w:val="000E7DEC"/>
    <w:rsid w:val="000F2598"/>
    <w:rsid w:val="000F3F1D"/>
    <w:rsid w:val="000F5152"/>
    <w:rsid w:val="000F6407"/>
    <w:rsid w:val="000F7482"/>
    <w:rsid w:val="000F7857"/>
    <w:rsid w:val="00101DFA"/>
    <w:rsid w:val="00103F6B"/>
    <w:rsid w:val="00105ABD"/>
    <w:rsid w:val="00105D78"/>
    <w:rsid w:val="00106534"/>
    <w:rsid w:val="001075D3"/>
    <w:rsid w:val="00110940"/>
    <w:rsid w:val="0011125B"/>
    <w:rsid w:val="00114394"/>
    <w:rsid w:val="00120199"/>
    <w:rsid w:val="00120C00"/>
    <w:rsid w:val="00121393"/>
    <w:rsid w:val="00121B44"/>
    <w:rsid w:val="001228A5"/>
    <w:rsid w:val="00123067"/>
    <w:rsid w:val="0012502A"/>
    <w:rsid w:val="00125881"/>
    <w:rsid w:val="0012602E"/>
    <w:rsid w:val="0012688D"/>
    <w:rsid w:val="00130C04"/>
    <w:rsid w:val="00132D4A"/>
    <w:rsid w:val="00133419"/>
    <w:rsid w:val="00134372"/>
    <w:rsid w:val="0013549A"/>
    <w:rsid w:val="00135E70"/>
    <w:rsid w:val="00135EAC"/>
    <w:rsid w:val="00135FB8"/>
    <w:rsid w:val="001366A0"/>
    <w:rsid w:val="00136F4C"/>
    <w:rsid w:val="00137129"/>
    <w:rsid w:val="00137776"/>
    <w:rsid w:val="00137B38"/>
    <w:rsid w:val="0014194D"/>
    <w:rsid w:val="0014197A"/>
    <w:rsid w:val="00142BDD"/>
    <w:rsid w:val="00143C05"/>
    <w:rsid w:val="00145091"/>
    <w:rsid w:val="00146B37"/>
    <w:rsid w:val="00150E30"/>
    <w:rsid w:val="00151522"/>
    <w:rsid w:val="00151722"/>
    <w:rsid w:val="001521BC"/>
    <w:rsid w:val="00152F95"/>
    <w:rsid w:val="00153163"/>
    <w:rsid w:val="001536B2"/>
    <w:rsid w:val="0015449B"/>
    <w:rsid w:val="00154F8E"/>
    <w:rsid w:val="00155008"/>
    <w:rsid w:val="001553A6"/>
    <w:rsid w:val="001564E8"/>
    <w:rsid w:val="00160CCF"/>
    <w:rsid w:val="00163FA1"/>
    <w:rsid w:val="001640B2"/>
    <w:rsid w:val="00164E11"/>
    <w:rsid w:val="0016536C"/>
    <w:rsid w:val="00165910"/>
    <w:rsid w:val="00167CCD"/>
    <w:rsid w:val="00167F36"/>
    <w:rsid w:val="00170628"/>
    <w:rsid w:val="00170BAE"/>
    <w:rsid w:val="00173880"/>
    <w:rsid w:val="00173EC7"/>
    <w:rsid w:val="00174C2A"/>
    <w:rsid w:val="001753A7"/>
    <w:rsid w:val="00176150"/>
    <w:rsid w:val="00176184"/>
    <w:rsid w:val="00177F94"/>
    <w:rsid w:val="00177FFE"/>
    <w:rsid w:val="00180154"/>
    <w:rsid w:val="00180642"/>
    <w:rsid w:val="0018146E"/>
    <w:rsid w:val="00182A89"/>
    <w:rsid w:val="00184DB4"/>
    <w:rsid w:val="0018549A"/>
    <w:rsid w:val="001876A8"/>
    <w:rsid w:val="001902A4"/>
    <w:rsid w:val="001909E4"/>
    <w:rsid w:val="00190B09"/>
    <w:rsid w:val="00190F50"/>
    <w:rsid w:val="001910E2"/>
    <w:rsid w:val="00191565"/>
    <w:rsid w:val="00193C94"/>
    <w:rsid w:val="001942CF"/>
    <w:rsid w:val="001942E2"/>
    <w:rsid w:val="00194BB2"/>
    <w:rsid w:val="00194D12"/>
    <w:rsid w:val="00194FEF"/>
    <w:rsid w:val="001965FB"/>
    <w:rsid w:val="001968FE"/>
    <w:rsid w:val="0019773D"/>
    <w:rsid w:val="00197782"/>
    <w:rsid w:val="001A0A78"/>
    <w:rsid w:val="001A2FDC"/>
    <w:rsid w:val="001A37E6"/>
    <w:rsid w:val="001A43A7"/>
    <w:rsid w:val="001A49A6"/>
    <w:rsid w:val="001A4F17"/>
    <w:rsid w:val="001A5F4B"/>
    <w:rsid w:val="001A6388"/>
    <w:rsid w:val="001A7412"/>
    <w:rsid w:val="001B0E38"/>
    <w:rsid w:val="001B1625"/>
    <w:rsid w:val="001B1836"/>
    <w:rsid w:val="001B3135"/>
    <w:rsid w:val="001B3951"/>
    <w:rsid w:val="001B3A46"/>
    <w:rsid w:val="001B4677"/>
    <w:rsid w:val="001B4A0A"/>
    <w:rsid w:val="001B4B16"/>
    <w:rsid w:val="001B5B81"/>
    <w:rsid w:val="001B73D1"/>
    <w:rsid w:val="001B7B61"/>
    <w:rsid w:val="001C00F7"/>
    <w:rsid w:val="001C0639"/>
    <w:rsid w:val="001C3356"/>
    <w:rsid w:val="001C3602"/>
    <w:rsid w:val="001C3C2B"/>
    <w:rsid w:val="001C450E"/>
    <w:rsid w:val="001C4836"/>
    <w:rsid w:val="001C5CA7"/>
    <w:rsid w:val="001C7095"/>
    <w:rsid w:val="001C7F84"/>
    <w:rsid w:val="001D0021"/>
    <w:rsid w:val="001D0083"/>
    <w:rsid w:val="001D0BF2"/>
    <w:rsid w:val="001D135A"/>
    <w:rsid w:val="001D261B"/>
    <w:rsid w:val="001D3263"/>
    <w:rsid w:val="001D56D3"/>
    <w:rsid w:val="001D7D68"/>
    <w:rsid w:val="001E11BF"/>
    <w:rsid w:val="001E160B"/>
    <w:rsid w:val="001E1C63"/>
    <w:rsid w:val="001E1FEB"/>
    <w:rsid w:val="001E30F7"/>
    <w:rsid w:val="001E43B2"/>
    <w:rsid w:val="001E4553"/>
    <w:rsid w:val="001E765F"/>
    <w:rsid w:val="001E7FB4"/>
    <w:rsid w:val="001F0A4D"/>
    <w:rsid w:val="001F21F6"/>
    <w:rsid w:val="001F3310"/>
    <w:rsid w:val="001F3912"/>
    <w:rsid w:val="001F50C9"/>
    <w:rsid w:val="001F6DC0"/>
    <w:rsid w:val="00200744"/>
    <w:rsid w:val="00201628"/>
    <w:rsid w:val="00203AB1"/>
    <w:rsid w:val="00203AF4"/>
    <w:rsid w:val="002053D6"/>
    <w:rsid w:val="002056DE"/>
    <w:rsid w:val="00206A51"/>
    <w:rsid w:val="00206D87"/>
    <w:rsid w:val="00212C48"/>
    <w:rsid w:val="00212E93"/>
    <w:rsid w:val="002132B3"/>
    <w:rsid w:val="002144EA"/>
    <w:rsid w:val="00214645"/>
    <w:rsid w:val="00216005"/>
    <w:rsid w:val="00216368"/>
    <w:rsid w:val="00217169"/>
    <w:rsid w:val="002204C7"/>
    <w:rsid w:val="00220653"/>
    <w:rsid w:val="002207BF"/>
    <w:rsid w:val="002254AF"/>
    <w:rsid w:val="0022571A"/>
    <w:rsid w:val="00226143"/>
    <w:rsid w:val="002266D7"/>
    <w:rsid w:val="0022689B"/>
    <w:rsid w:val="00226B11"/>
    <w:rsid w:val="00226DE2"/>
    <w:rsid w:val="00227531"/>
    <w:rsid w:val="00227E46"/>
    <w:rsid w:val="002311FD"/>
    <w:rsid w:val="00231A48"/>
    <w:rsid w:val="00231F0C"/>
    <w:rsid w:val="002321F4"/>
    <w:rsid w:val="00233051"/>
    <w:rsid w:val="002332A9"/>
    <w:rsid w:val="00234570"/>
    <w:rsid w:val="00235C31"/>
    <w:rsid w:val="00235F12"/>
    <w:rsid w:val="002407F1"/>
    <w:rsid w:val="00240E05"/>
    <w:rsid w:val="00241A25"/>
    <w:rsid w:val="00242E64"/>
    <w:rsid w:val="002441FD"/>
    <w:rsid w:val="00244359"/>
    <w:rsid w:val="0024477B"/>
    <w:rsid w:val="002464BF"/>
    <w:rsid w:val="00247F7F"/>
    <w:rsid w:val="00251374"/>
    <w:rsid w:val="00251547"/>
    <w:rsid w:val="002520D9"/>
    <w:rsid w:val="00256608"/>
    <w:rsid w:val="0026097D"/>
    <w:rsid w:val="00262E33"/>
    <w:rsid w:val="00262F33"/>
    <w:rsid w:val="0026607B"/>
    <w:rsid w:val="002679B5"/>
    <w:rsid w:val="00267DFC"/>
    <w:rsid w:val="00270CC7"/>
    <w:rsid w:val="00272A8F"/>
    <w:rsid w:val="00276377"/>
    <w:rsid w:val="002766D8"/>
    <w:rsid w:val="00280D3C"/>
    <w:rsid w:val="0028261B"/>
    <w:rsid w:val="00282977"/>
    <w:rsid w:val="00283934"/>
    <w:rsid w:val="00283D97"/>
    <w:rsid w:val="00284EF3"/>
    <w:rsid w:val="00285FD5"/>
    <w:rsid w:val="00286327"/>
    <w:rsid w:val="0028723E"/>
    <w:rsid w:val="002874F2"/>
    <w:rsid w:val="00287807"/>
    <w:rsid w:val="00290D10"/>
    <w:rsid w:val="00291B03"/>
    <w:rsid w:val="00292299"/>
    <w:rsid w:val="002928EA"/>
    <w:rsid w:val="00292F86"/>
    <w:rsid w:val="00294253"/>
    <w:rsid w:val="002A0027"/>
    <w:rsid w:val="002A0964"/>
    <w:rsid w:val="002A147C"/>
    <w:rsid w:val="002A14D2"/>
    <w:rsid w:val="002A264C"/>
    <w:rsid w:val="002A2E39"/>
    <w:rsid w:val="002A36DA"/>
    <w:rsid w:val="002A37DF"/>
    <w:rsid w:val="002A48AD"/>
    <w:rsid w:val="002A59F7"/>
    <w:rsid w:val="002A6987"/>
    <w:rsid w:val="002A7A67"/>
    <w:rsid w:val="002B07DA"/>
    <w:rsid w:val="002B0B6C"/>
    <w:rsid w:val="002B2116"/>
    <w:rsid w:val="002B214B"/>
    <w:rsid w:val="002B2D0E"/>
    <w:rsid w:val="002B3D07"/>
    <w:rsid w:val="002B4222"/>
    <w:rsid w:val="002B4365"/>
    <w:rsid w:val="002B45FB"/>
    <w:rsid w:val="002B48D7"/>
    <w:rsid w:val="002B696D"/>
    <w:rsid w:val="002B76EB"/>
    <w:rsid w:val="002C22E7"/>
    <w:rsid w:val="002C3887"/>
    <w:rsid w:val="002C3B4A"/>
    <w:rsid w:val="002C3C06"/>
    <w:rsid w:val="002C5629"/>
    <w:rsid w:val="002C5F4D"/>
    <w:rsid w:val="002C6F24"/>
    <w:rsid w:val="002C79A8"/>
    <w:rsid w:val="002D01D4"/>
    <w:rsid w:val="002D0CAC"/>
    <w:rsid w:val="002D2C69"/>
    <w:rsid w:val="002D2D0A"/>
    <w:rsid w:val="002D4F30"/>
    <w:rsid w:val="002D5BD4"/>
    <w:rsid w:val="002E1B9C"/>
    <w:rsid w:val="002E1F4E"/>
    <w:rsid w:val="002E2F08"/>
    <w:rsid w:val="002E5A52"/>
    <w:rsid w:val="002E5DE2"/>
    <w:rsid w:val="002E712D"/>
    <w:rsid w:val="002F0601"/>
    <w:rsid w:val="002F0FC6"/>
    <w:rsid w:val="002F1C96"/>
    <w:rsid w:val="002F24E8"/>
    <w:rsid w:val="002F28DF"/>
    <w:rsid w:val="002F3838"/>
    <w:rsid w:val="002F3FB5"/>
    <w:rsid w:val="002F44DD"/>
    <w:rsid w:val="002F7EAB"/>
    <w:rsid w:val="003007E1"/>
    <w:rsid w:val="00302300"/>
    <w:rsid w:val="0030305A"/>
    <w:rsid w:val="00305721"/>
    <w:rsid w:val="0030584A"/>
    <w:rsid w:val="00307EF7"/>
    <w:rsid w:val="0031164C"/>
    <w:rsid w:val="00312079"/>
    <w:rsid w:val="0031413C"/>
    <w:rsid w:val="0031449E"/>
    <w:rsid w:val="00314E3D"/>
    <w:rsid w:val="003155C6"/>
    <w:rsid w:val="0031628B"/>
    <w:rsid w:val="00316C4E"/>
    <w:rsid w:val="003200B1"/>
    <w:rsid w:val="00322975"/>
    <w:rsid w:val="00324C0A"/>
    <w:rsid w:val="0032502A"/>
    <w:rsid w:val="003259AA"/>
    <w:rsid w:val="00325B93"/>
    <w:rsid w:val="00326061"/>
    <w:rsid w:val="00326C65"/>
    <w:rsid w:val="00326D1E"/>
    <w:rsid w:val="00327718"/>
    <w:rsid w:val="00327D59"/>
    <w:rsid w:val="00331CF9"/>
    <w:rsid w:val="003325EA"/>
    <w:rsid w:val="00333D48"/>
    <w:rsid w:val="00334369"/>
    <w:rsid w:val="0033442F"/>
    <w:rsid w:val="00334A38"/>
    <w:rsid w:val="00334CA7"/>
    <w:rsid w:val="003358F8"/>
    <w:rsid w:val="0033678D"/>
    <w:rsid w:val="00340B9B"/>
    <w:rsid w:val="00340E6B"/>
    <w:rsid w:val="0034191D"/>
    <w:rsid w:val="0034231B"/>
    <w:rsid w:val="0034320E"/>
    <w:rsid w:val="00343303"/>
    <w:rsid w:val="00343ED4"/>
    <w:rsid w:val="00344144"/>
    <w:rsid w:val="0034467E"/>
    <w:rsid w:val="003448F3"/>
    <w:rsid w:val="003451BD"/>
    <w:rsid w:val="00345390"/>
    <w:rsid w:val="003454B9"/>
    <w:rsid w:val="00345590"/>
    <w:rsid w:val="0034685B"/>
    <w:rsid w:val="00346A83"/>
    <w:rsid w:val="00347694"/>
    <w:rsid w:val="003502E8"/>
    <w:rsid w:val="00350424"/>
    <w:rsid w:val="00350D29"/>
    <w:rsid w:val="00351219"/>
    <w:rsid w:val="00351330"/>
    <w:rsid w:val="0035232F"/>
    <w:rsid w:val="0035322E"/>
    <w:rsid w:val="00353EE6"/>
    <w:rsid w:val="00353F79"/>
    <w:rsid w:val="0035404D"/>
    <w:rsid w:val="00354A15"/>
    <w:rsid w:val="00355BF7"/>
    <w:rsid w:val="00355D4B"/>
    <w:rsid w:val="00355FBB"/>
    <w:rsid w:val="003562F7"/>
    <w:rsid w:val="00361220"/>
    <w:rsid w:val="00365457"/>
    <w:rsid w:val="00371731"/>
    <w:rsid w:val="00371E6D"/>
    <w:rsid w:val="00373397"/>
    <w:rsid w:val="00373CBD"/>
    <w:rsid w:val="0037505A"/>
    <w:rsid w:val="0037702A"/>
    <w:rsid w:val="00377659"/>
    <w:rsid w:val="00380002"/>
    <w:rsid w:val="00380583"/>
    <w:rsid w:val="00382BE0"/>
    <w:rsid w:val="00383CBC"/>
    <w:rsid w:val="00386BC0"/>
    <w:rsid w:val="00387F5A"/>
    <w:rsid w:val="00390F5A"/>
    <w:rsid w:val="003914B5"/>
    <w:rsid w:val="00391D10"/>
    <w:rsid w:val="00391D19"/>
    <w:rsid w:val="003925C0"/>
    <w:rsid w:val="00392F86"/>
    <w:rsid w:val="00393D4B"/>
    <w:rsid w:val="003946BF"/>
    <w:rsid w:val="0039588B"/>
    <w:rsid w:val="0039592C"/>
    <w:rsid w:val="00395A44"/>
    <w:rsid w:val="003962FB"/>
    <w:rsid w:val="00396314"/>
    <w:rsid w:val="00397B23"/>
    <w:rsid w:val="003A0898"/>
    <w:rsid w:val="003A08A0"/>
    <w:rsid w:val="003A5508"/>
    <w:rsid w:val="003A60C7"/>
    <w:rsid w:val="003A6A53"/>
    <w:rsid w:val="003B0815"/>
    <w:rsid w:val="003B0D47"/>
    <w:rsid w:val="003B2BE7"/>
    <w:rsid w:val="003B305D"/>
    <w:rsid w:val="003B4A01"/>
    <w:rsid w:val="003B5F59"/>
    <w:rsid w:val="003B6035"/>
    <w:rsid w:val="003B6415"/>
    <w:rsid w:val="003B6B25"/>
    <w:rsid w:val="003B6B58"/>
    <w:rsid w:val="003B736D"/>
    <w:rsid w:val="003B7A07"/>
    <w:rsid w:val="003C2167"/>
    <w:rsid w:val="003C2B1E"/>
    <w:rsid w:val="003C33B3"/>
    <w:rsid w:val="003C3DC4"/>
    <w:rsid w:val="003C4732"/>
    <w:rsid w:val="003C618A"/>
    <w:rsid w:val="003C71A7"/>
    <w:rsid w:val="003C7532"/>
    <w:rsid w:val="003D01C6"/>
    <w:rsid w:val="003D0AED"/>
    <w:rsid w:val="003D10A0"/>
    <w:rsid w:val="003D15B7"/>
    <w:rsid w:val="003D1FC5"/>
    <w:rsid w:val="003D20F4"/>
    <w:rsid w:val="003D4107"/>
    <w:rsid w:val="003D46A2"/>
    <w:rsid w:val="003D4C8A"/>
    <w:rsid w:val="003D5D95"/>
    <w:rsid w:val="003D7390"/>
    <w:rsid w:val="003D79BB"/>
    <w:rsid w:val="003E0088"/>
    <w:rsid w:val="003E28F3"/>
    <w:rsid w:val="003E3884"/>
    <w:rsid w:val="003E705F"/>
    <w:rsid w:val="003E7E20"/>
    <w:rsid w:val="003E7EAD"/>
    <w:rsid w:val="003F0AF7"/>
    <w:rsid w:val="003F0B3F"/>
    <w:rsid w:val="003F173C"/>
    <w:rsid w:val="003F234D"/>
    <w:rsid w:val="003F3081"/>
    <w:rsid w:val="003F333F"/>
    <w:rsid w:val="003F5767"/>
    <w:rsid w:val="003F6998"/>
    <w:rsid w:val="003F74EF"/>
    <w:rsid w:val="00401098"/>
    <w:rsid w:val="004023E2"/>
    <w:rsid w:val="00404593"/>
    <w:rsid w:val="00404784"/>
    <w:rsid w:val="00404C90"/>
    <w:rsid w:val="00404D93"/>
    <w:rsid w:val="004066E9"/>
    <w:rsid w:val="00406B50"/>
    <w:rsid w:val="004112CF"/>
    <w:rsid w:val="00411F3D"/>
    <w:rsid w:val="0041229D"/>
    <w:rsid w:val="00412B12"/>
    <w:rsid w:val="00412B47"/>
    <w:rsid w:val="004132CF"/>
    <w:rsid w:val="00414FA5"/>
    <w:rsid w:val="0041595F"/>
    <w:rsid w:val="0041785E"/>
    <w:rsid w:val="00420EE2"/>
    <w:rsid w:val="00421E11"/>
    <w:rsid w:val="00423C68"/>
    <w:rsid w:val="004249A7"/>
    <w:rsid w:val="00424F80"/>
    <w:rsid w:val="00425166"/>
    <w:rsid w:val="00425283"/>
    <w:rsid w:val="004257AD"/>
    <w:rsid w:val="0042754D"/>
    <w:rsid w:val="00427FFA"/>
    <w:rsid w:val="00432D04"/>
    <w:rsid w:val="00432D7C"/>
    <w:rsid w:val="0043717D"/>
    <w:rsid w:val="00437E77"/>
    <w:rsid w:val="00440767"/>
    <w:rsid w:val="00440C09"/>
    <w:rsid w:val="00441648"/>
    <w:rsid w:val="004423E5"/>
    <w:rsid w:val="00442690"/>
    <w:rsid w:val="00442DE5"/>
    <w:rsid w:val="0044329E"/>
    <w:rsid w:val="0044457B"/>
    <w:rsid w:val="00444832"/>
    <w:rsid w:val="00444A54"/>
    <w:rsid w:val="004464E8"/>
    <w:rsid w:val="00447311"/>
    <w:rsid w:val="00447AE4"/>
    <w:rsid w:val="00447D60"/>
    <w:rsid w:val="00447D6A"/>
    <w:rsid w:val="00447FC7"/>
    <w:rsid w:val="004500A9"/>
    <w:rsid w:val="004510C9"/>
    <w:rsid w:val="0045512F"/>
    <w:rsid w:val="004552A7"/>
    <w:rsid w:val="00455BDD"/>
    <w:rsid w:val="00456CE0"/>
    <w:rsid w:val="0045774A"/>
    <w:rsid w:val="004605D3"/>
    <w:rsid w:val="00461174"/>
    <w:rsid w:val="00463142"/>
    <w:rsid w:val="00464D50"/>
    <w:rsid w:val="004656B1"/>
    <w:rsid w:val="00467ADA"/>
    <w:rsid w:val="00470545"/>
    <w:rsid w:val="00471761"/>
    <w:rsid w:val="00472EA3"/>
    <w:rsid w:val="0047332F"/>
    <w:rsid w:val="004747AC"/>
    <w:rsid w:val="00474B92"/>
    <w:rsid w:val="00475250"/>
    <w:rsid w:val="00476577"/>
    <w:rsid w:val="00476585"/>
    <w:rsid w:val="00477396"/>
    <w:rsid w:val="00477B44"/>
    <w:rsid w:val="0048081A"/>
    <w:rsid w:val="00481011"/>
    <w:rsid w:val="00481AC8"/>
    <w:rsid w:val="00481CE0"/>
    <w:rsid w:val="00483524"/>
    <w:rsid w:val="00484EE7"/>
    <w:rsid w:val="00484F7A"/>
    <w:rsid w:val="0048579E"/>
    <w:rsid w:val="004870F6"/>
    <w:rsid w:val="00490398"/>
    <w:rsid w:val="00490A7C"/>
    <w:rsid w:val="004911E6"/>
    <w:rsid w:val="004923BB"/>
    <w:rsid w:val="00493713"/>
    <w:rsid w:val="00494AFF"/>
    <w:rsid w:val="00495B84"/>
    <w:rsid w:val="0049611D"/>
    <w:rsid w:val="0049659F"/>
    <w:rsid w:val="00497100"/>
    <w:rsid w:val="0049769C"/>
    <w:rsid w:val="004A38F1"/>
    <w:rsid w:val="004A5630"/>
    <w:rsid w:val="004A685A"/>
    <w:rsid w:val="004A7D32"/>
    <w:rsid w:val="004B076D"/>
    <w:rsid w:val="004B086B"/>
    <w:rsid w:val="004B0E8A"/>
    <w:rsid w:val="004B0EC9"/>
    <w:rsid w:val="004B1AD2"/>
    <w:rsid w:val="004B3A6E"/>
    <w:rsid w:val="004B4137"/>
    <w:rsid w:val="004B4B21"/>
    <w:rsid w:val="004B4D8D"/>
    <w:rsid w:val="004B51FA"/>
    <w:rsid w:val="004B672B"/>
    <w:rsid w:val="004B6D59"/>
    <w:rsid w:val="004B7D62"/>
    <w:rsid w:val="004C19DD"/>
    <w:rsid w:val="004C27A3"/>
    <w:rsid w:val="004C2A20"/>
    <w:rsid w:val="004C2AB6"/>
    <w:rsid w:val="004C3232"/>
    <w:rsid w:val="004C3640"/>
    <w:rsid w:val="004C388F"/>
    <w:rsid w:val="004C442A"/>
    <w:rsid w:val="004C6B3D"/>
    <w:rsid w:val="004C7832"/>
    <w:rsid w:val="004C798A"/>
    <w:rsid w:val="004D0FDB"/>
    <w:rsid w:val="004D48E8"/>
    <w:rsid w:val="004D52F8"/>
    <w:rsid w:val="004D5475"/>
    <w:rsid w:val="004D5928"/>
    <w:rsid w:val="004D610B"/>
    <w:rsid w:val="004D61A0"/>
    <w:rsid w:val="004D69E9"/>
    <w:rsid w:val="004D7470"/>
    <w:rsid w:val="004E1067"/>
    <w:rsid w:val="004E1588"/>
    <w:rsid w:val="004E2CD7"/>
    <w:rsid w:val="004E2F03"/>
    <w:rsid w:val="004E5FE5"/>
    <w:rsid w:val="004E64B5"/>
    <w:rsid w:val="004E6C7E"/>
    <w:rsid w:val="004E71FF"/>
    <w:rsid w:val="004E7F64"/>
    <w:rsid w:val="004F1CB2"/>
    <w:rsid w:val="004F24E2"/>
    <w:rsid w:val="004F29B4"/>
    <w:rsid w:val="004F3C7F"/>
    <w:rsid w:val="004F4014"/>
    <w:rsid w:val="004F4FBF"/>
    <w:rsid w:val="004F599A"/>
    <w:rsid w:val="004F5B0E"/>
    <w:rsid w:val="004F752B"/>
    <w:rsid w:val="004F7889"/>
    <w:rsid w:val="004F798A"/>
    <w:rsid w:val="005007AD"/>
    <w:rsid w:val="00500DCB"/>
    <w:rsid w:val="00502982"/>
    <w:rsid w:val="005029B7"/>
    <w:rsid w:val="005117CB"/>
    <w:rsid w:val="00512A06"/>
    <w:rsid w:val="0051302E"/>
    <w:rsid w:val="005141F4"/>
    <w:rsid w:val="00514A25"/>
    <w:rsid w:val="00516702"/>
    <w:rsid w:val="00516E10"/>
    <w:rsid w:val="00517C55"/>
    <w:rsid w:val="00521066"/>
    <w:rsid w:val="0052116C"/>
    <w:rsid w:val="0052381F"/>
    <w:rsid w:val="005238D0"/>
    <w:rsid w:val="005253EF"/>
    <w:rsid w:val="00525D04"/>
    <w:rsid w:val="00526328"/>
    <w:rsid w:val="00530B1E"/>
    <w:rsid w:val="00531219"/>
    <w:rsid w:val="005327AE"/>
    <w:rsid w:val="00532FE5"/>
    <w:rsid w:val="00533086"/>
    <w:rsid w:val="00533421"/>
    <w:rsid w:val="00533792"/>
    <w:rsid w:val="00533E72"/>
    <w:rsid w:val="005346AE"/>
    <w:rsid w:val="00534A24"/>
    <w:rsid w:val="00534ED5"/>
    <w:rsid w:val="005350F6"/>
    <w:rsid w:val="005362EA"/>
    <w:rsid w:val="00536AFE"/>
    <w:rsid w:val="00537002"/>
    <w:rsid w:val="005377EC"/>
    <w:rsid w:val="005400E9"/>
    <w:rsid w:val="0054677B"/>
    <w:rsid w:val="00546B00"/>
    <w:rsid w:val="00546C09"/>
    <w:rsid w:val="00546F81"/>
    <w:rsid w:val="00547C08"/>
    <w:rsid w:val="005525B4"/>
    <w:rsid w:val="005537E5"/>
    <w:rsid w:val="00553F35"/>
    <w:rsid w:val="00554E0F"/>
    <w:rsid w:val="00556662"/>
    <w:rsid w:val="005568F2"/>
    <w:rsid w:val="00556938"/>
    <w:rsid w:val="00560268"/>
    <w:rsid w:val="00561B8C"/>
    <w:rsid w:val="005631A4"/>
    <w:rsid w:val="00563A9A"/>
    <w:rsid w:val="00563EE7"/>
    <w:rsid w:val="005649A2"/>
    <w:rsid w:val="00565110"/>
    <w:rsid w:val="00565D46"/>
    <w:rsid w:val="0056686F"/>
    <w:rsid w:val="00570C25"/>
    <w:rsid w:val="00572B4A"/>
    <w:rsid w:val="00573EF8"/>
    <w:rsid w:val="00574594"/>
    <w:rsid w:val="005767D6"/>
    <w:rsid w:val="005768FD"/>
    <w:rsid w:val="00577AFA"/>
    <w:rsid w:val="00580673"/>
    <w:rsid w:val="0058130F"/>
    <w:rsid w:val="00581B7E"/>
    <w:rsid w:val="00581D32"/>
    <w:rsid w:val="005836C7"/>
    <w:rsid w:val="00583FFA"/>
    <w:rsid w:val="0058589C"/>
    <w:rsid w:val="00585D52"/>
    <w:rsid w:val="0058722D"/>
    <w:rsid w:val="0059027A"/>
    <w:rsid w:val="00590603"/>
    <w:rsid w:val="00591CA1"/>
    <w:rsid w:val="005924A9"/>
    <w:rsid w:val="00593265"/>
    <w:rsid w:val="00593A7A"/>
    <w:rsid w:val="00593B43"/>
    <w:rsid w:val="00593E2B"/>
    <w:rsid w:val="00594F1B"/>
    <w:rsid w:val="0059511C"/>
    <w:rsid w:val="00595A01"/>
    <w:rsid w:val="0059635B"/>
    <w:rsid w:val="00596455"/>
    <w:rsid w:val="005964B2"/>
    <w:rsid w:val="005964F2"/>
    <w:rsid w:val="00597BE5"/>
    <w:rsid w:val="005A155E"/>
    <w:rsid w:val="005A161D"/>
    <w:rsid w:val="005A3C10"/>
    <w:rsid w:val="005A4B08"/>
    <w:rsid w:val="005A4EF5"/>
    <w:rsid w:val="005A54D2"/>
    <w:rsid w:val="005A641D"/>
    <w:rsid w:val="005A69DC"/>
    <w:rsid w:val="005B023F"/>
    <w:rsid w:val="005B0FD1"/>
    <w:rsid w:val="005B16EB"/>
    <w:rsid w:val="005B1FBC"/>
    <w:rsid w:val="005B3920"/>
    <w:rsid w:val="005B3F0F"/>
    <w:rsid w:val="005B4A22"/>
    <w:rsid w:val="005B4A36"/>
    <w:rsid w:val="005B58F3"/>
    <w:rsid w:val="005B75AC"/>
    <w:rsid w:val="005B7CB9"/>
    <w:rsid w:val="005C168E"/>
    <w:rsid w:val="005C2296"/>
    <w:rsid w:val="005C2F1D"/>
    <w:rsid w:val="005C33AE"/>
    <w:rsid w:val="005C3F01"/>
    <w:rsid w:val="005C4917"/>
    <w:rsid w:val="005C536F"/>
    <w:rsid w:val="005C5465"/>
    <w:rsid w:val="005C54C8"/>
    <w:rsid w:val="005C6C4D"/>
    <w:rsid w:val="005C7E03"/>
    <w:rsid w:val="005D11BE"/>
    <w:rsid w:val="005D15ED"/>
    <w:rsid w:val="005D179E"/>
    <w:rsid w:val="005D24E7"/>
    <w:rsid w:val="005D3504"/>
    <w:rsid w:val="005D4B58"/>
    <w:rsid w:val="005D5729"/>
    <w:rsid w:val="005D7D5B"/>
    <w:rsid w:val="005E0540"/>
    <w:rsid w:val="005E1A08"/>
    <w:rsid w:val="005E2F06"/>
    <w:rsid w:val="005E3176"/>
    <w:rsid w:val="005E3DA6"/>
    <w:rsid w:val="005E4441"/>
    <w:rsid w:val="005E7AAD"/>
    <w:rsid w:val="005F185C"/>
    <w:rsid w:val="005F1C55"/>
    <w:rsid w:val="005F2D5C"/>
    <w:rsid w:val="005F34A7"/>
    <w:rsid w:val="005F56B0"/>
    <w:rsid w:val="005F6341"/>
    <w:rsid w:val="005F689A"/>
    <w:rsid w:val="005F69EB"/>
    <w:rsid w:val="005F72A3"/>
    <w:rsid w:val="006007E8"/>
    <w:rsid w:val="0060086D"/>
    <w:rsid w:val="00600F2E"/>
    <w:rsid w:val="0060196E"/>
    <w:rsid w:val="006020EE"/>
    <w:rsid w:val="00602DC5"/>
    <w:rsid w:val="00604208"/>
    <w:rsid w:val="00604C26"/>
    <w:rsid w:val="006059B0"/>
    <w:rsid w:val="006066C6"/>
    <w:rsid w:val="0060686F"/>
    <w:rsid w:val="006079A6"/>
    <w:rsid w:val="00607F7F"/>
    <w:rsid w:val="00610721"/>
    <w:rsid w:val="0061127C"/>
    <w:rsid w:val="0061270D"/>
    <w:rsid w:val="00613FF3"/>
    <w:rsid w:val="00615490"/>
    <w:rsid w:val="006158EF"/>
    <w:rsid w:val="0061719D"/>
    <w:rsid w:val="006174EE"/>
    <w:rsid w:val="00617799"/>
    <w:rsid w:val="0061779A"/>
    <w:rsid w:val="00617FA7"/>
    <w:rsid w:val="00620488"/>
    <w:rsid w:val="00620D7F"/>
    <w:rsid w:val="00622222"/>
    <w:rsid w:val="00622AAA"/>
    <w:rsid w:val="00623B1D"/>
    <w:rsid w:val="00627524"/>
    <w:rsid w:val="00627B49"/>
    <w:rsid w:val="00630827"/>
    <w:rsid w:val="0063158D"/>
    <w:rsid w:val="0063163B"/>
    <w:rsid w:val="006326AF"/>
    <w:rsid w:val="0063288D"/>
    <w:rsid w:val="006333ED"/>
    <w:rsid w:val="00634117"/>
    <w:rsid w:val="0063571F"/>
    <w:rsid w:val="00642D34"/>
    <w:rsid w:val="0064377F"/>
    <w:rsid w:val="00643837"/>
    <w:rsid w:val="0064579A"/>
    <w:rsid w:val="006476ED"/>
    <w:rsid w:val="00650270"/>
    <w:rsid w:val="00650F9B"/>
    <w:rsid w:val="00651707"/>
    <w:rsid w:val="00652650"/>
    <w:rsid w:val="00652729"/>
    <w:rsid w:val="00654098"/>
    <w:rsid w:val="00656B40"/>
    <w:rsid w:val="00657387"/>
    <w:rsid w:val="006576D7"/>
    <w:rsid w:val="00660D4C"/>
    <w:rsid w:val="0066123B"/>
    <w:rsid w:val="006613CD"/>
    <w:rsid w:val="006615BE"/>
    <w:rsid w:val="00661947"/>
    <w:rsid w:val="006633EF"/>
    <w:rsid w:val="00664A78"/>
    <w:rsid w:val="0066529D"/>
    <w:rsid w:val="00665FCA"/>
    <w:rsid w:val="00666300"/>
    <w:rsid w:val="00666A07"/>
    <w:rsid w:val="00667FFB"/>
    <w:rsid w:val="00671714"/>
    <w:rsid w:val="0067173D"/>
    <w:rsid w:val="00672060"/>
    <w:rsid w:val="006733D2"/>
    <w:rsid w:val="0067394A"/>
    <w:rsid w:val="00675111"/>
    <w:rsid w:val="006756D3"/>
    <w:rsid w:val="00676448"/>
    <w:rsid w:val="00677764"/>
    <w:rsid w:val="00680090"/>
    <w:rsid w:val="00681726"/>
    <w:rsid w:val="00681B9E"/>
    <w:rsid w:val="00682B22"/>
    <w:rsid w:val="0068472D"/>
    <w:rsid w:val="00684829"/>
    <w:rsid w:val="00684C98"/>
    <w:rsid w:val="00684F68"/>
    <w:rsid w:val="006854AC"/>
    <w:rsid w:val="00686D17"/>
    <w:rsid w:val="00687CB7"/>
    <w:rsid w:val="00687F41"/>
    <w:rsid w:val="00692A69"/>
    <w:rsid w:val="006945D4"/>
    <w:rsid w:val="00694812"/>
    <w:rsid w:val="00694B2C"/>
    <w:rsid w:val="00694C7F"/>
    <w:rsid w:val="00694F2F"/>
    <w:rsid w:val="00694FC2"/>
    <w:rsid w:val="006953B0"/>
    <w:rsid w:val="00696723"/>
    <w:rsid w:val="00696AED"/>
    <w:rsid w:val="00696B0F"/>
    <w:rsid w:val="006A0614"/>
    <w:rsid w:val="006A0779"/>
    <w:rsid w:val="006A326C"/>
    <w:rsid w:val="006A35C9"/>
    <w:rsid w:val="006A3718"/>
    <w:rsid w:val="006A3E1B"/>
    <w:rsid w:val="006A41B8"/>
    <w:rsid w:val="006A69E2"/>
    <w:rsid w:val="006A6E94"/>
    <w:rsid w:val="006A70E2"/>
    <w:rsid w:val="006B060F"/>
    <w:rsid w:val="006B0CED"/>
    <w:rsid w:val="006B116B"/>
    <w:rsid w:val="006B1211"/>
    <w:rsid w:val="006B16F0"/>
    <w:rsid w:val="006B1E67"/>
    <w:rsid w:val="006B27AE"/>
    <w:rsid w:val="006B4FA5"/>
    <w:rsid w:val="006B5162"/>
    <w:rsid w:val="006B57E8"/>
    <w:rsid w:val="006B616F"/>
    <w:rsid w:val="006B6EC2"/>
    <w:rsid w:val="006B7C08"/>
    <w:rsid w:val="006C06FA"/>
    <w:rsid w:val="006C3A52"/>
    <w:rsid w:val="006C6656"/>
    <w:rsid w:val="006D0A15"/>
    <w:rsid w:val="006D0C79"/>
    <w:rsid w:val="006D0DBF"/>
    <w:rsid w:val="006D2B68"/>
    <w:rsid w:val="006D364F"/>
    <w:rsid w:val="006D389E"/>
    <w:rsid w:val="006D3F0E"/>
    <w:rsid w:val="006D51C7"/>
    <w:rsid w:val="006D6008"/>
    <w:rsid w:val="006D6BC3"/>
    <w:rsid w:val="006E1922"/>
    <w:rsid w:val="006E1D43"/>
    <w:rsid w:val="006E316B"/>
    <w:rsid w:val="006E414A"/>
    <w:rsid w:val="006E414F"/>
    <w:rsid w:val="006E41AF"/>
    <w:rsid w:val="006E5765"/>
    <w:rsid w:val="006E6363"/>
    <w:rsid w:val="006E6BA3"/>
    <w:rsid w:val="006E72C0"/>
    <w:rsid w:val="006E793E"/>
    <w:rsid w:val="006E7D0E"/>
    <w:rsid w:val="006F05FA"/>
    <w:rsid w:val="006F15C6"/>
    <w:rsid w:val="006F1A72"/>
    <w:rsid w:val="006F1D0A"/>
    <w:rsid w:val="006F23EA"/>
    <w:rsid w:val="006F3B63"/>
    <w:rsid w:val="006F4383"/>
    <w:rsid w:val="006F4BFE"/>
    <w:rsid w:val="006F4DD2"/>
    <w:rsid w:val="006F7E34"/>
    <w:rsid w:val="00700D00"/>
    <w:rsid w:val="0070184D"/>
    <w:rsid w:val="0070193A"/>
    <w:rsid w:val="00704048"/>
    <w:rsid w:val="00704941"/>
    <w:rsid w:val="007055B4"/>
    <w:rsid w:val="0070567F"/>
    <w:rsid w:val="00705B0A"/>
    <w:rsid w:val="00705BCF"/>
    <w:rsid w:val="007062E5"/>
    <w:rsid w:val="0071030D"/>
    <w:rsid w:val="00710FB5"/>
    <w:rsid w:val="00711779"/>
    <w:rsid w:val="00712171"/>
    <w:rsid w:val="007121A0"/>
    <w:rsid w:val="00712719"/>
    <w:rsid w:val="0071275A"/>
    <w:rsid w:val="007135CA"/>
    <w:rsid w:val="00713906"/>
    <w:rsid w:val="007139D5"/>
    <w:rsid w:val="00714B06"/>
    <w:rsid w:val="00714E28"/>
    <w:rsid w:val="0071588C"/>
    <w:rsid w:val="00715B99"/>
    <w:rsid w:val="007164E2"/>
    <w:rsid w:val="007167BE"/>
    <w:rsid w:val="0072119A"/>
    <w:rsid w:val="0072205A"/>
    <w:rsid w:val="00722A7E"/>
    <w:rsid w:val="00722B91"/>
    <w:rsid w:val="00723555"/>
    <w:rsid w:val="00723D01"/>
    <w:rsid w:val="00724D61"/>
    <w:rsid w:val="00724FE8"/>
    <w:rsid w:val="007269FE"/>
    <w:rsid w:val="00726D9A"/>
    <w:rsid w:val="0072785D"/>
    <w:rsid w:val="00730482"/>
    <w:rsid w:val="0073056F"/>
    <w:rsid w:val="007307EB"/>
    <w:rsid w:val="00731771"/>
    <w:rsid w:val="00731A22"/>
    <w:rsid w:val="007322EB"/>
    <w:rsid w:val="007327A2"/>
    <w:rsid w:val="0073298F"/>
    <w:rsid w:val="007345D7"/>
    <w:rsid w:val="00735F8D"/>
    <w:rsid w:val="00736F88"/>
    <w:rsid w:val="007373EE"/>
    <w:rsid w:val="0074007F"/>
    <w:rsid w:val="00741185"/>
    <w:rsid w:val="00741689"/>
    <w:rsid w:val="00741BFA"/>
    <w:rsid w:val="007446D0"/>
    <w:rsid w:val="00745484"/>
    <w:rsid w:val="00745752"/>
    <w:rsid w:val="00746985"/>
    <w:rsid w:val="00746E72"/>
    <w:rsid w:val="0075008C"/>
    <w:rsid w:val="007500E5"/>
    <w:rsid w:val="0075021C"/>
    <w:rsid w:val="00750DE0"/>
    <w:rsid w:val="00750E3E"/>
    <w:rsid w:val="00752186"/>
    <w:rsid w:val="00753209"/>
    <w:rsid w:val="00753D28"/>
    <w:rsid w:val="007551CE"/>
    <w:rsid w:val="007562A8"/>
    <w:rsid w:val="007564BD"/>
    <w:rsid w:val="00757972"/>
    <w:rsid w:val="007602A0"/>
    <w:rsid w:val="007602AE"/>
    <w:rsid w:val="007603B4"/>
    <w:rsid w:val="00761F27"/>
    <w:rsid w:val="0076276A"/>
    <w:rsid w:val="007628C0"/>
    <w:rsid w:val="0076588E"/>
    <w:rsid w:val="00766C5A"/>
    <w:rsid w:val="00767964"/>
    <w:rsid w:val="007701FC"/>
    <w:rsid w:val="00770260"/>
    <w:rsid w:val="0077089E"/>
    <w:rsid w:val="00771A84"/>
    <w:rsid w:val="00771D69"/>
    <w:rsid w:val="00773139"/>
    <w:rsid w:val="007732BA"/>
    <w:rsid w:val="007736C6"/>
    <w:rsid w:val="00774C28"/>
    <w:rsid w:val="0077565D"/>
    <w:rsid w:val="00776003"/>
    <w:rsid w:val="0077621C"/>
    <w:rsid w:val="007771DA"/>
    <w:rsid w:val="00781123"/>
    <w:rsid w:val="00783365"/>
    <w:rsid w:val="00783390"/>
    <w:rsid w:val="0078587A"/>
    <w:rsid w:val="00785F6B"/>
    <w:rsid w:val="00786110"/>
    <w:rsid w:val="0078714A"/>
    <w:rsid w:val="00790332"/>
    <w:rsid w:val="00790662"/>
    <w:rsid w:val="0079208C"/>
    <w:rsid w:val="007921D2"/>
    <w:rsid w:val="007926A3"/>
    <w:rsid w:val="00793964"/>
    <w:rsid w:val="00793E13"/>
    <w:rsid w:val="007947C9"/>
    <w:rsid w:val="00795DDF"/>
    <w:rsid w:val="00796AE2"/>
    <w:rsid w:val="007A3B7F"/>
    <w:rsid w:val="007A4225"/>
    <w:rsid w:val="007A493D"/>
    <w:rsid w:val="007A4ECC"/>
    <w:rsid w:val="007A50C2"/>
    <w:rsid w:val="007A6B7F"/>
    <w:rsid w:val="007A6BC6"/>
    <w:rsid w:val="007A7428"/>
    <w:rsid w:val="007B1E8F"/>
    <w:rsid w:val="007B2857"/>
    <w:rsid w:val="007B2A51"/>
    <w:rsid w:val="007B4C04"/>
    <w:rsid w:val="007B604D"/>
    <w:rsid w:val="007B61E3"/>
    <w:rsid w:val="007C0DF9"/>
    <w:rsid w:val="007C2A99"/>
    <w:rsid w:val="007C3114"/>
    <w:rsid w:val="007C366D"/>
    <w:rsid w:val="007C4E05"/>
    <w:rsid w:val="007C58DB"/>
    <w:rsid w:val="007C64D7"/>
    <w:rsid w:val="007D0CD4"/>
    <w:rsid w:val="007D123E"/>
    <w:rsid w:val="007D26F3"/>
    <w:rsid w:val="007D28CA"/>
    <w:rsid w:val="007D2C14"/>
    <w:rsid w:val="007D3B79"/>
    <w:rsid w:val="007D4795"/>
    <w:rsid w:val="007D5010"/>
    <w:rsid w:val="007D5077"/>
    <w:rsid w:val="007D580D"/>
    <w:rsid w:val="007D72B4"/>
    <w:rsid w:val="007D79E7"/>
    <w:rsid w:val="007E04D3"/>
    <w:rsid w:val="007E0A00"/>
    <w:rsid w:val="007E2F75"/>
    <w:rsid w:val="007E397A"/>
    <w:rsid w:val="007E3EC1"/>
    <w:rsid w:val="007E46E9"/>
    <w:rsid w:val="007E48DC"/>
    <w:rsid w:val="007E4F3D"/>
    <w:rsid w:val="007E616C"/>
    <w:rsid w:val="007E6906"/>
    <w:rsid w:val="007E6984"/>
    <w:rsid w:val="007F0425"/>
    <w:rsid w:val="007F06AB"/>
    <w:rsid w:val="007F1E29"/>
    <w:rsid w:val="007F26DD"/>
    <w:rsid w:val="007F2997"/>
    <w:rsid w:val="007F3AD2"/>
    <w:rsid w:val="007F4194"/>
    <w:rsid w:val="007F4CEB"/>
    <w:rsid w:val="007F50D2"/>
    <w:rsid w:val="007F50E2"/>
    <w:rsid w:val="007F57E7"/>
    <w:rsid w:val="007F5C26"/>
    <w:rsid w:val="007F6714"/>
    <w:rsid w:val="007F799D"/>
    <w:rsid w:val="007F7D2A"/>
    <w:rsid w:val="007F7E5E"/>
    <w:rsid w:val="00800FCD"/>
    <w:rsid w:val="00801396"/>
    <w:rsid w:val="00801623"/>
    <w:rsid w:val="008018E0"/>
    <w:rsid w:val="0080200B"/>
    <w:rsid w:val="008022FC"/>
    <w:rsid w:val="00803AB4"/>
    <w:rsid w:val="00803C3E"/>
    <w:rsid w:val="00803C68"/>
    <w:rsid w:val="00804CE7"/>
    <w:rsid w:val="008067E6"/>
    <w:rsid w:val="008119A5"/>
    <w:rsid w:val="0081268E"/>
    <w:rsid w:val="00813981"/>
    <w:rsid w:val="008164AD"/>
    <w:rsid w:val="008172C2"/>
    <w:rsid w:val="00820180"/>
    <w:rsid w:val="00820852"/>
    <w:rsid w:val="008237F7"/>
    <w:rsid w:val="008266E1"/>
    <w:rsid w:val="00826EA7"/>
    <w:rsid w:val="008274EB"/>
    <w:rsid w:val="00827507"/>
    <w:rsid w:val="008306FC"/>
    <w:rsid w:val="00831D82"/>
    <w:rsid w:val="008322F0"/>
    <w:rsid w:val="008326BE"/>
    <w:rsid w:val="008336E0"/>
    <w:rsid w:val="00833B51"/>
    <w:rsid w:val="00833C4D"/>
    <w:rsid w:val="00834728"/>
    <w:rsid w:val="00834B8F"/>
    <w:rsid w:val="00834B93"/>
    <w:rsid w:val="00834CDC"/>
    <w:rsid w:val="00835B10"/>
    <w:rsid w:val="008374A9"/>
    <w:rsid w:val="00840A08"/>
    <w:rsid w:val="008421C5"/>
    <w:rsid w:val="00842DB9"/>
    <w:rsid w:val="00843C78"/>
    <w:rsid w:val="00843E4C"/>
    <w:rsid w:val="00843EEE"/>
    <w:rsid w:val="00844663"/>
    <w:rsid w:val="00846666"/>
    <w:rsid w:val="00846BF1"/>
    <w:rsid w:val="00847F94"/>
    <w:rsid w:val="0085051F"/>
    <w:rsid w:val="00852934"/>
    <w:rsid w:val="00852CD5"/>
    <w:rsid w:val="00853AA2"/>
    <w:rsid w:val="00854220"/>
    <w:rsid w:val="008547ED"/>
    <w:rsid w:val="00855AEE"/>
    <w:rsid w:val="00857A4E"/>
    <w:rsid w:val="00857FF8"/>
    <w:rsid w:val="0086083C"/>
    <w:rsid w:val="00860B29"/>
    <w:rsid w:val="00860DE7"/>
    <w:rsid w:val="008615AC"/>
    <w:rsid w:val="00861E9B"/>
    <w:rsid w:val="0086207C"/>
    <w:rsid w:val="0086475B"/>
    <w:rsid w:val="00864C9D"/>
    <w:rsid w:val="008668D1"/>
    <w:rsid w:val="0087015E"/>
    <w:rsid w:val="008709B6"/>
    <w:rsid w:val="00870A9D"/>
    <w:rsid w:val="00871062"/>
    <w:rsid w:val="00871526"/>
    <w:rsid w:val="008733DC"/>
    <w:rsid w:val="008737C8"/>
    <w:rsid w:val="008739AE"/>
    <w:rsid w:val="00873FD3"/>
    <w:rsid w:val="008758FC"/>
    <w:rsid w:val="00881E99"/>
    <w:rsid w:val="008821A6"/>
    <w:rsid w:val="0088442E"/>
    <w:rsid w:val="00885F03"/>
    <w:rsid w:val="00886FAC"/>
    <w:rsid w:val="00887E65"/>
    <w:rsid w:val="00890344"/>
    <w:rsid w:val="008906FA"/>
    <w:rsid w:val="008923AE"/>
    <w:rsid w:val="008923B4"/>
    <w:rsid w:val="00892C45"/>
    <w:rsid w:val="008937FE"/>
    <w:rsid w:val="00893C94"/>
    <w:rsid w:val="0089429F"/>
    <w:rsid w:val="008961C2"/>
    <w:rsid w:val="008968AD"/>
    <w:rsid w:val="00896C54"/>
    <w:rsid w:val="00896E10"/>
    <w:rsid w:val="0089730F"/>
    <w:rsid w:val="00897D3C"/>
    <w:rsid w:val="008A3517"/>
    <w:rsid w:val="008A437F"/>
    <w:rsid w:val="008A6373"/>
    <w:rsid w:val="008A648F"/>
    <w:rsid w:val="008A6A97"/>
    <w:rsid w:val="008A7657"/>
    <w:rsid w:val="008A7679"/>
    <w:rsid w:val="008B0B64"/>
    <w:rsid w:val="008B0BB7"/>
    <w:rsid w:val="008B6D29"/>
    <w:rsid w:val="008B73E8"/>
    <w:rsid w:val="008B7BE8"/>
    <w:rsid w:val="008C3C3E"/>
    <w:rsid w:val="008C4FCC"/>
    <w:rsid w:val="008C51F7"/>
    <w:rsid w:val="008C628A"/>
    <w:rsid w:val="008C6CDC"/>
    <w:rsid w:val="008C7079"/>
    <w:rsid w:val="008D18E2"/>
    <w:rsid w:val="008D1ABF"/>
    <w:rsid w:val="008D4501"/>
    <w:rsid w:val="008D499E"/>
    <w:rsid w:val="008D4B22"/>
    <w:rsid w:val="008D57C2"/>
    <w:rsid w:val="008D5836"/>
    <w:rsid w:val="008D7145"/>
    <w:rsid w:val="008D71CE"/>
    <w:rsid w:val="008D77B0"/>
    <w:rsid w:val="008E3D86"/>
    <w:rsid w:val="008E4012"/>
    <w:rsid w:val="008E6D2E"/>
    <w:rsid w:val="008F0CA1"/>
    <w:rsid w:val="008F1579"/>
    <w:rsid w:val="008F19A8"/>
    <w:rsid w:val="008F26CF"/>
    <w:rsid w:val="008F34B0"/>
    <w:rsid w:val="008F3E3D"/>
    <w:rsid w:val="008F5073"/>
    <w:rsid w:val="008F63B2"/>
    <w:rsid w:val="008F6532"/>
    <w:rsid w:val="008F69CE"/>
    <w:rsid w:val="008F7521"/>
    <w:rsid w:val="008F7908"/>
    <w:rsid w:val="008F7C42"/>
    <w:rsid w:val="009031B8"/>
    <w:rsid w:val="0090383E"/>
    <w:rsid w:val="00903E74"/>
    <w:rsid w:val="00907C53"/>
    <w:rsid w:val="00911E0C"/>
    <w:rsid w:val="00912173"/>
    <w:rsid w:val="00914313"/>
    <w:rsid w:val="00916572"/>
    <w:rsid w:val="00916A0A"/>
    <w:rsid w:val="00916C17"/>
    <w:rsid w:val="009172CC"/>
    <w:rsid w:val="0092099A"/>
    <w:rsid w:val="00920C6E"/>
    <w:rsid w:val="00922EF9"/>
    <w:rsid w:val="009243AB"/>
    <w:rsid w:val="00926056"/>
    <w:rsid w:val="00926789"/>
    <w:rsid w:val="00926BCC"/>
    <w:rsid w:val="009277DD"/>
    <w:rsid w:val="0093118D"/>
    <w:rsid w:val="0093148C"/>
    <w:rsid w:val="00931A21"/>
    <w:rsid w:val="00932E3F"/>
    <w:rsid w:val="009332AB"/>
    <w:rsid w:val="00933944"/>
    <w:rsid w:val="00936324"/>
    <w:rsid w:val="00936B25"/>
    <w:rsid w:val="00936D5E"/>
    <w:rsid w:val="009370D4"/>
    <w:rsid w:val="009374A0"/>
    <w:rsid w:val="009379E4"/>
    <w:rsid w:val="0094281F"/>
    <w:rsid w:val="0094320F"/>
    <w:rsid w:val="009446B5"/>
    <w:rsid w:val="009448D3"/>
    <w:rsid w:val="0094579D"/>
    <w:rsid w:val="009468FD"/>
    <w:rsid w:val="009518D8"/>
    <w:rsid w:val="00951B44"/>
    <w:rsid w:val="0095419B"/>
    <w:rsid w:val="00954C47"/>
    <w:rsid w:val="00955AE0"/>
    <w:rsid w:val="00961352"/>
    <w:rsid w:val="0096209A"/>
    <w:rsid w:val="00963750"/>
    <w:rsid w:val="00964064"/>
    <w:rsid w:val="00964E98"/>
    <w:rsid w:val="009651F5"/>
    <w:rsid w:val="009656EE"/>
    <w:rsid w:val="009656F7"/>
    <w:rsid w:val="009671C8"/>
    <w:rsid w:val="00972EDF"/>
    <w:rsid w:val="00972F08"/>
    <w:rsid w:val="00974021"/>
    <w:rsid w:val="00975035"/>
    <w:rsid w:val="00975A61"/>
    <w:rsid w:val="00975E70"/>
    <w:rsid w:val="00982486"/>
    <w:rsid w:val="0098260F"/>
    <w:rsid w:val="009834F7"/>
    <w:rsid w:val="009839B1"/>
    <w:rsid w:val="00986C83"/>
    <w:rsid w:val="00987C7A"/>
    <w:rsid w:val="00990206"/>
    <w:rsid w:val="00990D7D"/>
    <w:rsid w:val="00990D82"/>
    <w:rsid w:val="00991E13"/>
    <w:rsid w:val="0099299D"/>
    <w:rsid w:val="00993516"/>
    <w:rsid w:val="00993DB6"/>
    <w:rsid w:val="009951AE"/>
    <w:rsid w:val="00996C7C"/>
    <w:rsid w:val="00997817"/>
    <w:rsid w:val="009979A3"/>
    <w:rsid w:val="009A057C"/>
    <w:rsid w:val="009A08DD"/>
    <w:rsid w:val="009A14E6"/>
    <w:rsid w:val="009A2358"/>
    <w:rsid w:val="009A2992"/>
    <w:rsid w:val="009A4A70"/>
    <w:rsid w:val="009A6072"/>
    <w:rsid w:val="009B05A3"/>
    <w:rsid w:val="009B0B56"/>
    <w:rsid w:val="009B117C"/>
    <w:rsid w:val="009B14EF"/>
    <w:rsid w:val="009B21FA"/>
    <w:rsid w:val="009B23AF"/>
    <w:rsid w:val="009B2790"/>
    <w:rsid w:val="009B2B19"/>
    <w:rsid w:val="009B6939"/>
    <w:rsid w:val="009B72B5"/>
    <w:rsid w:val="009C2B8C"/>
    <w:rsid w:val="009C3D3C"/>
    <w:rsid w:val="009C4545"/>
    <w:rsid w:val="009C4792"/>
    <w:rsid w:val="009C4A2E"/>
    <w:rsid w:val="009C5895"/>
    <w:rsid w:val="009C615E"/>
    <w:rsid w:val="009C6D10"/>
    <w:rsid w:val="009C73BD"/>
    <w:rsid w:val="009D0B1F"/>
    <w:rsid w:val="009D12C7"/>
    <w:rsid w:val="009D2A27"/>
    <w:rsid w:val="009D4A96"/>
    <w:rsid w:val="009D513A"/>
    <w:rsid w:val="009D541F"/>
    <w:rsid w:val="009D5517"/>
    <w:rsid w:val="009D6496"/>
    <w:rsid w:val="009D6797"/>
    <w:rsid w:val="009D7703"/>
    <w:rsid w:val="009D780D"/>
    <w:rsid w:val="009D7978"/>
    <w:rsid w:val="009D7BFF"/>
    <w:rsid w:val="009E2D84"/>
    <w:rsid w:val="009E3A28"/>
    <w:rsid w:val="009E4744"/>
    <w:rsid w:val="009E5691"/>
    <w:rsid w:val="009E5E93"/>
    <w:rsid w:val="009E5F55"/>
    <w:rsid w:val="009E6670"/>
    <w:rsid w:val="009E6FEC"/>
    <w:rsid w:val="009E7475"/>
    <w:rsid w:val="009E7DF2"/>
    <w:rsid w:val="009F06C0"/>
    <w:rsid w:val="009F0A52"/>
    <w:rsid w:val="009F1B61"/>
    <w:rsid w:val="009F1D51"/>
    <w:rsid w:val="009F2797"/>
    <w:rsid w:val="009F2CD0"/>
    <w:rsid w:val="009F411B"/>
    <w:rsid w:val="009F5EA4"/>
    <w:rsid w:val="009F61AF"/>
    <w:rsid w:val="009F6833"/>
    <w:rsid w:val="009F7344"/>
    <w:rsid w:val="009F74EE"/>
    <w:rsid w:val="00A014D8"/>
    <w:rsid w:val="00A019AB"/>
    <w:rsid w:val="00A02527"/>
    <w:rsid w:val="00A03021"/>
    <w:rsid w:val="00A03C77"/>
    <w:rsid w:val="00A040A9"/>
    <w:rsid w:val="00A05A26"/>
    <w:rsid w:val="00A061CE"/>
    <w:rsid w:val="00A06E3A"/>
    <w:rsid w:val="00A0709B"/>
    <w:rsid w:val="00A072B3"/>
    <w:rsid w:val="00A07702"/>
    <w:rsid w:val="00A07DB0"/>
    <w:rsid w:val="00A12B40"/>
    <w:rsid w:val="00A131FE"/>
    <w:rsid w:val="00A136EA"/>
    <w:rsid w:val="00A13D6D"/>
    <w:rsid w:val="00A145CB"/>
    <w:rsid w:val="00A17660"/>
    <w:rsid w:val="00A17F3B"/>
    <w:rsid w:val="00A220BE"/>
    <w:rsid w:val="00A220FF"/>
    <w:rsid w:val="00A240E3"/>
    <w:rsid w:val="00A24251"/>
    <w:rsid w:val="00A25034"/>
    <w:rsid w:val="00A2538E"/>
    <w:rsid w:val="00A25FF8"/>
    <w:rsid w:val="00A26074"/>
    <w:rsid w:val="00A26182"/>
    <w:rsid w:val="00A269A6"/>
    <w:rsid w:val="00A308D9"/>
    <w:rsid w:val="00A30954"/>
    <w:rsid w:val="00A3121E"/>
    <w:rsid w:val="00A31A29"/>
    <w:rsid w:val="00A31F8F"/>
    <w:rsid w:val="00A32BAB"/>
    <w:rsid w:val="00A32D28"/>
    <w:rsid w:val="00A335C9"/>
    <w:rsid w:val="00A33B8B"/>
    <w:rsid w:val="00A3430E"/>
    <w:rsid w:val="00A34CEB"/>
    <w:rsid w:val="00A3583B"/>
    <w:rsid w:val="00A35B2E"/>
    <w:rsid w:val="00A35DD3"/>
    <w:rsid w:val="00A36560"/>
    <w:rsid w:val="00A40013"/>
    <w:rsid w:val="00A4002F"/>
    <w:rsid w:val="00A41536"/>
    <w:rsid w:val="00A41B3E"/>
    <w:rsid w:val="00A42E1B"/>
    <w:rsid w:val="00A440B3"/>
    <w:rsid w:val="00A446EF"/>
    <w:rsid w:val="00A47564"/>
    <w:rsid w:val="00A50DFB"/>
    <w:rsid w:val="00A517F2"/>
    <w:rsid w:val="00A51D87"/>
    <w:rsid w:val="00A51E7E"/>
    <w:rsid w:val="00A53D56"/>
    <w:rsid w:val="00A54C36"/>
    <w:rsid w:val="00A56B28"/>
    <w:rsid w:val="00A573B7"/>
    <w:rsid w:val="00A578BE"/>
    <w:rsid w:val="00A60B8E"/>
    <w:rsid w:val="00A610F2"/>
    <w:rsid w:val="00A629F3"/>
    <w:rsid w:val="00A63065"/>
    <w:rsid w:val="00A63413"/>
    <w:rsid w:val="00A64700"/>
    <w:rsid w:val="00A65FEF"/>
    <w:rsid w:val="00A7038B"/>
    <w:rsid w:val="00A70596"/>
    <w:rsid w:val="00A70C94"/>
    <w:rsid w:val="00A7255A"/>
    <w:rsid w:val="00A73FC0"/>
    <w:rsid w:val="00A75A16"/>
    <w:rsid w:val="00A75C50"/>
    <w:rsid w:val="00A76D9F"/>
    <w:rsid w:val="00A76F3F"/>
    <w:rsid w:val="00A80001"/>
    <w:rsid w:val="00A80179"/>
    <w:rsid w:val="00A80596"/>
    <w:rsid w:val="00A80A13"/>
    <w:rsid w:val="00A81B1E"/>
    <w:rsid w:val="00A81FC5"/>
    <w:rsid w:val="00A8476C"/>
    <w:rsid w:val="00A864D4"/>
    <w:rsid w:val="00A92323"/>
    <w:rsid w:val="00A92773"/>
    <w:rsid w:val="00A94B54"/>
    <w:rsid w:val="00A9526C"/>
    <w:rsid w:val="00A95A6A"/>
    <w:rsid w:val="00A95A97"/>
    <w:rsid w:val="00A96525"/>
    <w:rsid w:val="00A975D8"/>
    <w:rsid w:val="00A97CC3"/>
    <w:rsid w:val="00AA074A"/>
    <w:rsid w:val="00AA0848"/>
    <w:rsid w:val="00AA1516"/>
    <w:rsid w:val="00AA1B09"/>
    <w:rsid w:val="00AA2CF1"/>
    <w:rsid w:val="00AA301A"/>
    <w:rsid w:val="00AA73D3"/>
    <w:rsid w:val="00AA7611"/>
    <w:rsid w:val="00AA7673"/>
    <w:rsid w:val="00AA7D08"/>
    <w:rsid w:val="00AB023C"/>
    <w:rsid w:val="00AB0395"/>
    <w:rsid w:val="00AB0A56"/>
    <w:rsid w:val="00AB0BD2"/>
    <w:rsid w:val="00AB0D9C"/>
    <w:rsid w:val="00AB1073"/>
    <w:rsid w:val="00AB1442"/>
    <w:rsid w:val="00AB2B64"/>
    <w:rsid w:val="00AB324E"/>
    <w:rsid w:val="00AB3647"/>
    <w:rsid w:val="00AB5AA8"/>
    <w:rsid w:val="00AB768A"/>
    <w:rsid w:val="00AB78FE"/>
    <w:rsid w:val="00AC572F"/>
    <w:rsid w:val="00AC581B"/>
    <w:rsid w:val="00AD0A53"/>
    <w:rsid w:val="00AD0F5B"/>
    <w:rsid w:val="00AD15BE"/>
    <w:rsid w:val="00AD19BE"/>
    <w:rsid w:val="00AD3B3D"/>
    <w:rsid w:val="00AD41B8"/>
    <w:rsid w:val="00AD5DB4"/>
    <w:rsid w:val="00AD5EEA"/>
    <w:rsid w:val="00AD5F32"/>
    <w:rsid w:val="00AD7942"/>
    <w:rsid w:val="00AE0AA6"/>
    <w:rsid w:val="00AE22C4"/>
    <w:rsid w:val="00AE22E1"/>
    <w:rsid w:val="00AE3056"/>
    <w:rsid w:val="00AE321B"/>
    <w:rsid w:val="00AE46E7"/>
    <w:rsid w:val="00AE5131"/>
    <w:rsid w:val="00AE6362"/>
    <w:rsid w:val="00AE6523"/>
    <w:rsid w:val="00AE6BB6"/>
    <w:rsid w:val="00AE7E43"/>
    <w:rsid w:val="00AF11D7"/>
    <w:rsid w:val="00AF258B"/>
    <w:rsid w:val="00AF271F"/>
    <w:rsid w:val="00AF352D"/>
    <w:rsid w:val="00AF3BC8"/>
    <w:rsid w:val="00AF4C2B"/>
    <w:rsid w:val="00AF6FFF"/>
    <w:rsid w:val="00B0018D"/>
    <w:rsid w:val="00B0234C"/>
    <w:rsid w:val="00B06B64"/>
    <w:rsid w:val="00B132BE"/>
    <w:rsid w:val="00B13B06"/>
    <w:rsid w:val="00B13C6C"/>
    <w:rsid w:val="00B14265"/>
    <w:rsid w:val="00B1460D"/>
    <w:rsid w:val="00B14654"/>
    <w:rsid w:val="00B14694"/>
    <w:rsid w:val="00B148F6"/>
    <w:rsid w:val="00B14C22"/>
    <w:rsid w:val="00B16E4B"/>
    <w:rsid w:val="00B20326"/>
    <w:rsid w:val="00B208E7"/>
    <w:rsid w:val="00B20990"/>
    <w:rsid w:val="00B20EC8"/>
    <w:rsid w:val="00B21529"/>
    <w:rsid w:val="00B2286A"/>
    <w:rsid w:val="00B23996"/>
    <w:rsid w:val="00B24CBF"/>
    <w:rsid w:val="00B24DBF"/>
    <w:rsid w:val="00B2613B"/>
    <w:rsid w:val="00B261AE"/>
    <w:rsid w:val="00B27A53"/>
    <w:rsid w:val="00B27EF1"/>
    <w:rsid w:val="00B30345"/>
    <w:rsid w:val="00B31668"/>
    <w:rsid w:val="00B316AE"/>
    <w:rsid w:val="00B316C4"/>
    <w:rsid w:val="00B31C2F"/>
    <w:rsid w:val="00B32DE3"/>
    <w:rsid w:val="00B32DED"/>
    <w:rsid w:val="00B3371C"/>
    <w:rsid w:val="00B34775"/>
    <w:rsid w:val="00B34D2B"/>
    <w:rsid w:val="00B36267"/>
    <w:rsid w:val="00B3698C"/>
    <w:rsid w:val="00B36AFB"/>
    <w:rsid w:val="00B379CD"/>
    <w:rsid w:val="00B37A17"/>
    <w:rsid w:val="00B4025C"/>
    <w:rsid w:val="00B40AA4"/>
    <w:rsid w:val="00B40E0D"/>
    <w:rsid w:val="00B42D26"/>
    <w:rsid w:val="00B43714"/>
    <w:rsid w:val="00B43793"/>
    <w:rsid w:val="00B47850"/>
    <w:rsid w:val="00B5026D"/>
    <w:rsid w:val="00B50FF0"/>
    <w:rsid w:val="00B51DC4"/>
    <w:rsid w:val="00B53EC3"/>
    <w:rsid w:val="00B5543A"/>
    <w:rsid w:val="00B56379"/>
    <w:rsid w:val="00B56706"/>
    <w:rsid w:val="00B56844"/>
    <w:rsid w:val="00B56E29"/>
    <w:rsid w:val="00B57073"/>
    <w:rsid w:val="00B601B8"/>
    <w:rsid w:val="00B62DEE"/>
    <w:rsid w:val="00B63926"/>
    <w:rsid w:val="00B6580B"/>
    <w:rsid w:val="00B6598B"/>
    <w:rsid w:val="00B71F2D"/>
    <w:rsid w:val="00B71F72"/>
    <w:rsid w:val="00B74D1A"/>
    <w:rsid w:val="00B75EC3"/>
    <w:rsid w:val="00B76D8D"/>
    <w:rsid w:val="00B76E74"/>
    <w:rsid w:val="00B76FB3"/>
    <w:rsid w:val="00B802C2"/>
    <w:rsid w:val="00B80496"/>
    <w:rsid w:val="00B80A8E"/>
    <w:rsid w:val="00B81FA6"/>
    <w:rsid w:val="00B82AF7"/>
    <w:rsid w:val="00B8409B"/>
    <w:rsid w:val="00B84179"/>
    <w:rsid w:val="00B846DF"/>
    <w:rsid w:val="00B84AC7"/>
    <w:rsid w:val="00B877BF"/>
    <w:rsid w:val="00B914BA"/>
    <w:rsid w:val="00B93D63"/>
    <w:rsid w:val="00B944F6"/>
    <w:rsid w:val="00B94B82"/>
    <w:rsid w:val="00B9537D"/>
    <w:rsid w:val="00B9585B"/>
    <w:rsid w:val="00B96275"/>
    <w:rsid w:val="00B973CB"/>
    <w:rsid w:val="00B97B7D"/>
    <w:rsid w:val="00BA0548"/>
    <w:rsid w:val="00BA06A8"/>
    <w:rsid w:val="00BA093C"/>
    <w:rsid w:val="00BA0E4F"/>
    <w:rsid w:val="00BA3E49"/>
    <w:rsid w:val="00BA49CC"/>
    <w:rsid w:val="00BA5EDD"/>
    <w:rsid w:val="00BA6ECE"/>
    <w:rsid w:val="00BA754A"/>
    <w:rsid w:val="00BB1312"/>
    <w:rsid w:val="00BB1563"/>
    <w:rsid w:val="00BB3799"/>
    <w:rsid w:val="00BB3C83"/>
    <w:rsid w:val="00BB3F43"/>
    <w:rsid w:val="00BB4DD2"/>
    <w:rsid w:val="00BB533B"/>
    <w:rsid w:val="00BB5C3E"/>
    <w:rsid w:val="00BB604F"/>
    <w:rsid w:val="00BB6D7F"/>
    <w:rsid w:val="00BC0464"/>
    <w:rsid w:val="00BC07E9"/>
    <w:rsid w:val="00BC0CDC"/>
    <w:rsid w:val="00BC1FEB"/>
    <w:rsid w:val="00BC2ACC"/>
    <w:rsid w:val="00BC2F45"/>
    <w:rsid w:val="00BC346C"/>
    <w:rsid w:val="00BC3A53"/>
    <w:rsid w:val="00BC4001"/>
    <w:rsid w:val="00BC4620"/>
    <w:rsid w:val="00BC4657"/>
    <w:rsid w:val="00BC510F"/>
    <w:rsid w:val="00BC599A"/>
    <w:rsid w:val="00BC69B8"/>
    <w:rsid w:val="00BC6CFC"/>
    <w:rsid w:val="00BC6E63"/>
    <w:rsid w:val="00BC718B"/>
    <w:rsid w:val="00BC7A0C"/>
    <w:rsid w:val="00BD014C"/>
    <w:rsid w:val="00BD0861"/>
    <w:rsid w:val="00BD19FE"/>
    <w:rsid w:val="00BD2BF4"/>
    <w:rsid w:val="00BD334A"/>
    <w:rsid w:val="00BD4F7B"/>
    <w:rsid w:val="00BD5595"/>
    <w:rsid w:val="00BD5C10"/>
    <w:rsid w:val="00BD61B1"/>
    <w:rsid w:val="00BD61EC"/>
    <w:rsid w:val="00BD6252"/>
    <w:rsid w:val="00BD7E5E"/>
    <w:rsid w:val="00BE0A31"/>
    <w:rsid w:val="00BE1098"/>
    <w:rsid w:val="00BE21F1"/>
    <w:rsid w:val="00BE2300"/>
    <w:rsid w:val="00BE249D"/>
    <w:rsid w:val="00BE37C9"/>
    <w:rsid w:val="00BE3983"/>
    <w:rsid w:val="00BE4A00"/>
    <w:rsid w:val="00BE517D"/>
    <w:rsid w:val="00BE54F5"/>
    <w:rsid w:val="00BE6900"/>
    <w:rsid w:val="00BE7CB5"/>
    <w:rsid w:val="00BE7E16"/>
    <w:rsid w:val="00BF0C36"/>
    <w:rsid w:val="00BF1AE8"/>
    <w:rsid w:val="00BF1E54"/>
    <w:rsid w:val="00BF20EE"/>
    <w:rsid w:val="00BF251D"/>
    <w:rsid w:val="00BF2C84"/>
    <w:rsid w:val="00BF40AB"/>
    <w:rsid w:val="00BF40B0"/>
    <w:rsid w:val="00BF4171"/>
    <w:rsid w:val="00BF69B1"/>
    <w:rsid w:val="00BF7266"/>
    <w:rsid w:val="00BF745F"/>
    <w:rsid w:val="00BF766E"/>
    <w:rsid w:val="00C01835"/>
    <w:rsid w:val="00C0242D"/>
    <w:rsid w:val="00C0413B"/>
    <w:rsid w:val="00C053E7"/>
    <w:rsid w:val="00C07BC0"/>
    <w:rsid w:val="00C10126"/>
    <w:rsid w:val="00C1058C"/>
    <w:rsid w:val="00C1115B"/>
    <w:rsid w:val="00C11803"/>
    <w:rsid w:val="00C15348"/>
    <w:rsid w:val="00C15B46"/>
    <w:rsid w:val="00C16291"/>
    <w:rsid w:val="00C16EF6"/>
    <w:rsid w:val="00C172B1"/>
    <w:rsid w:val="00C17B7C"/>
    <w:rsid w:val="00C203E8"/>
    <w:rsid w:val="00C20E39"/>
    <w:rsid w:val="00C20FDC"/>
    <w:rsid w:val="00C21692"/>
    <w:rsid w:val="00C2276E"/>
    <w:rsid w:val="00C22B65"/>
    <w:rsid w:val="00C23BBA"/>
    <w:rsid w:val="00C25836"/>
    <w:rsid w:val="00C263F1"/>
    <w:rsid w:val="00C264B2"/>
    <w:rsid w:val="00C2656E"/>
    <w:rsid w:val="00C304A1"/>
    <w:rsid w:val="00C309F6"/>
    <w:rsid w:val="00C31AB0"/>
    <w:rsid w:val="00C33579"/>
    <w:rsid w:val="00C337C8"/>
    <w:rsid w:val="00C33A20"/>
    <w:rsid w:val="00C340E8"/>
    <w:rsid w:val="00C3476D"/>
    <w:rsid w:val="00C36287"/>
    <w:rsid w:val="00C36624"/>
    <w:rsid w:val="00C37211"/>
    <w:rsid w:val="00C401A2"/>
    <w:rsid w:val="00C40727"/>
    <w:rsid w:val="00C40BD1"/>
    <w:rsid w:val="00C40CCA"/>
    <w:rsid w:val="00C40EB5"/>
    <w:rsid w:val="00C42289"/>
    <w:rsid w:val="00C42465"/>
    <w:rsid w:val="00C4336C"/>
    <w:rsid w:val="00C437DE"/>
    <w:rsid w:val="00C437EE"/>
    <w:rsid w:val="00C43886"/>
    <w:rsid w:val="00C443C1"/>
    <w:rsid w:val="00C45AB2"/>
    <w:rsid w:val="00C463BB"/>
    <w:rsid w:val="00C468B8"/>
    <w:rsid w:val="00C50FF4"/>
    <w:rsid w:val="00C516E1"/>
    <w:rsid w:val="00C54BB7"/>
    <w:rsid w:val="00C57A93"/>
    <w:rsid w:val="00C57FB4"/>
    <w:rsid w:val="00C60002"/>
    <w:rsid w:val="00C60BDC"/>
    <w:rsid w:val="00C60D1E"/>
    <w:rsid w:val="00C61DED"/>
    <w:rsid w:val="00C6418E"/>
    <w:rsid w:val="00C64212"/>
    <w:rsid w:val="00C6426B"/>
    <w:rsid w:val="00C64A77"/>
    <w:rsid w:val="00C6558B"/>
    <w:rsid w:val="00C65626"/>
    <w:rsid w:val="00C6632D"/>
    <w:rsid w:val="00C67E88"/>
    <w:rsid w:val="00C7002F"/>
    <w:rsid w:val="00C70FEE"/>
    <w:rsid w:val="00C722FC"/>
    <w:rsid w:val="00C75E6A"/>
    <w:rsid w:val="00C7623F"/>
    <w:rsid w:val="00C82803"/>
    <w:rsid w:val="00C82A86"/>
    <w:rsid w:val="00C84655"/>
    <w:rsid w:val="00C855BA"/>
    <w:rsid w:val="00C860CE"/>
    <w:rsid w:val="00C86108"/>
    <w:rsid w:val="00C8778B"/>
    <w:rsid w:val="00C87D60"/>
    <w:rsid w:val="00C9006E"/>
    <w:rsid w:val="00C9047A"/>
    <w:rsid w:val="00C904C0"/>
    <w:rsid w:val="00C905E4"/>
    <w:rsid w:val="00C925C1"/>
    <w:rsid w:val="00C95E39"/>
    <w:rsid w:val="00C960C9"/>
    <w:rsid w:val="00C97290"/>
    <w:rsid w:val="00C97FFE"/>
    <w:rsid w:val="00CA01EC"/>
    <w:rsid w:val="00CA020F"/>
    <w:rsid w:val="00CA0376"/>
    <w:rsid w:val="00CA038A"/>
    <w:rsid w:val="00CA072E"/>
    <w:rsid w:val="00CA1B08"/>
    <w:rsid w:val="00CA2A03"/>
    <w:rsid w:val="00CA3517"/>
    <w:rsid w:val="00CA578D"/>
    <w:rsid w:val="00CA5904"/>
    <w:rsid w:val="00CA6247"/>
    <w:rsid w:val="00CA6B7F"/>
    <w:rsid w:val="00CA7003"/>
    <w:rsid w:val="00CB3A2C"/>
    <w:rsid w:val="00CB3BAA"/>
    <w:rsid w:val="00CB497A"/>
    <w:rsid w:val="00CB4D6F"/>
    <w:rsid w:val="00CB4ECB"/>
    <w:rsid w:val="00CB6C20"/>
    <w:rsid w:val="00CB71C5"/>
    <w:rsid w:val="00CB73C4"/>
    <w:rsid w:val="00CC0948"/>
    <w:rsid w:val="00CC1C48"/>
    <w:rsid w:val="00CC22FD"/>
    <w:rsid w:val="00CC3974"/>
    <w:rsid w:val="00CC3D18"/>
    <w:rsid w:val="00CC5453"/>
    <w:rsid w:val="00CC5D56"/>
    <w:rsid w:val="00CC5FEB"/>
    <w:rsid w:val="00CC683E"/>
    <w:rsid w:val="00CC732C"/>
    <w:rsid w:val="00CC75D6"/>
    <w:rsid w:val="00CD0120"/>
    <w:rsid w:val="00CD06CE"/>
    <w:rsid w:val="00CD1186"/>
    <w:rsid w:val="00CD1FD1"/>
    <w:rsid w:val="00CE05EB"/>
    <w:rsid w:val="00CE25E7"/>
    <w:rsid w:val="00CE4CC8"/>
    <w:rsid w:val="00CE761F"/>
    <w:rsid w:val="00CF0BEE"/>
    <w:rsid w:val="00CF24E8"/>
    <w:rsid w:val="00CF2567"/>
    <w:rsid w:val="00CF28EA"/>
    <w:rsid w:val="00CF53B4"/>
    <w:rsid w:val="00CF62CF"/>
    <w:rsid w:val="00CF6F2F"/>
    <w:rsid w:val="00CF70A5"/>
    <w:rsid w:val="00CF723A"/>
    <w:rsid w:val="00D0014B"/>
    <w:rsid w:val="00D0075A"/>
    <w:rsid w:val="00D00A45"/>
    <w:rsid w:val="00D024B2"/>
    <w:rsid w:val="00D02B2E"/>
    <w:rsid w:val="00D046B0"/>
    <w:rsid w:val="00D04F84"/>
    <w:rsid w:val="00D05686"/>
    <w:rsid w:val="00D056FD"/>
    <w:rsid w:val="00D05B49"/>
    <w:rsid w:val="00D075C4"/>
    <w:rsid w:val="00D07F59"/>
    <w:rsid w:val="00D11950"/>
    <w:rsid w:val="00D11DD1"/>
    <w:rsid w:val="00D14918"/>
    <w:rsid w:val="00D149BC"/>
    <w:rsid w:val="00D149E7"/>
    <w:rsid w:val="00D14E13"/>
    <w:rsid w:val="00D14F45"/>
    <w:rsid w:val="00D157AE"/>
    <w:rsid w:val="00D15B60"/>
    <w:rsid w:val="00D15ED9"/>
    <w:rsid w:val="00D1647A"/>
    <w:rsid w:val="00D1710A"/>
    <w:rsid w:val="00D17CD6"/>
    <w:rsid w:val="00D2051E"/>
    <w:rsid w:val="00D21F52"/>
    <w:rsid w:val="00D23D34"/>
    <w:rsid w:val="00D24955"/>
    <w:rsid w:val="00D249B2"/>
    <w:rsid w:val="00D24B32"/>
    <w:rsid w:val="00D25541"/>
    <w:rsid w:val="00D26E46"/>
    <w:rsid w:val="00D30EA1"/>
    <w:rsid w:val="00D31B93"/>
    <w:rsid w:val="00D3265A"/>
    <w:rsid w:val="00D33C0B"/>
    <w:rsid w:val="00D34236"/>
    <w:rsid w:val="00D34688"/>
    <w:rsid w:val="00D34B28"/>
    <w:rsid w:val="00D34B76"/>
    <w:rsid w:val="00D36C9A"/>
    <w:rsid w:val="00D3776B"/>
    <w:rsid w:val="00D37AE3"/>
    <w:rsid w:val="00D41F8B"/>
    <w:rsid w:val="00D41FD9"/>
    <w:rsid w:val="00D426D7"/>
    <w:rsid w:val="00D42E1B"/>
    <w:rsid w:val="00D43064"/>
    <w:rsid w:val="00D437ED"/>
    <w:rsid w:val="00D442A2"/>
    <w:rsid w:val="00D44B96"/>
    <w:rsid w:val="00D45AF1"/>
    <w:rsid w:val="00D4641B"/>
    <w:rsid w:val="00D467B1"/>
    <w:rsid w:val="00D46BF9"/>
    <w:rsid w:val="00D52007"/>
    <w:rsid w:val="00D526BA"/>
    <w:rsid w:val="00D527E3"/>
    <w:rsid w:val="00D540FA"/>
    <w:rsid w:val="00D54BC3"/>
    <w:rsid w:val="00D55091"/>
    <w:rsid w:val="00D551BE"/>
    <w:rsid w:val="00D55CD7"/>
    <w:rsid w:val="00D579E5"/>
    <w:rsid w:val="00D60115"/>
    <w:rsid w:val="00D6012E"/>
    <w:rsid w:val="00D61A43"/>
    <w:rsid w:val="00D61C3B"/>
    <w:rsid w:val="00D62284"/>
    <w:rsid w:val="00D62CBA"/>
    <w:rsid w:val="00D63A75"/>
    <w:rsid w:val="00D6481A"/>
    <w:rsid w:val="00D64CFB"/>
    <w:rsid w:val="00D65144"/>
    <w:rsid w:val="00D660B7"/>
    <w:rsid w:val="00D667CE"/>
    <w:rsid w:val="00D674F4"/>
    <w:rsid w:val="00D703ED"/>
    <w:rsid w:val="00D7198F"/>
    <w:rsid w:val="00D719B1"/>
    <w:rsid w:val="00D71F8E"/>
    <w:rsid w:val="00D7202D"/>
    <w:rsid w:val="00D73808"/>
    <w:rsid w:val="00D752AF"/>
    <w:rsid w:val="00D75CC8"/>
    <w:rsid w:val="00D77A29"/>
    <w:rsid w:val="00D8002C"/>
    <w:rsid w:val="00D8060D"/>
    <w:rsid w:val="00D8295E"/>
    <w:rsid w:val="00D82A5D"/>
    <w:rsid w:val="00D834F7"/>
    <w:rsid w:val="00D84445"/>
    <w:rsid w:val="00D85776"/>
    <w:rsid w:val="00D85908"/>
    <w:rsid w:val="00D85C11"/>
    <w:rsid w:val="00D85ECE"/>
    <w:rsid w:val="00D912E4"/>
    <w:rsid w:val="00D9134F"/>
    <w:rsid w:val="00D9247B"/>
    <w:rsid w:val="00D92CA2"/>
    <w:rsid w:val="00D92E7A"/>
    <w:rsid w:val="00D9432E"/>
    <w:rsid w:val="00D94390"/>
    <w:rsid w:val="00D94D5D"/>
    <w:rsid w:val="00D95AC1"/>
    <w:rsid w:val="00D97296"/>
    <w:rsid w:val="00D97854"/>
    <w:rsid w:val="00DA0991"/>
    <w:rsid w:val="00DA0E6F"/>
    <w:rsid w:val="00DA1707"/>
    <w:rsid w:val="00DA45D4"/>
    <w:rsid w:val="00DA4896"/>
    <w:rsid w:val="00DA59F4"/>
    <w:rsid w:val="00DA78F3"/>
    <w:rsid w:val="00DA7944"/>
    <w:rsid w:val="00DB07E8"/>
    <w:rsid w:val="00DB11D8"/>
    <w:rsid w:val="00DB1AF8"/>
    <w:rsid w:val="00DB30E8"/>
    <w:rsid w:val="00DB556C"/>
    <w:rsid w:val="00DB5A68"/>
    <w:rsid w:val="00DC07AD"/>
    <w:rsid w:val="00DC5709"/>
    <w:rsid w:val="00DC5E70"/>
    <w:rsid w:val="00DC7D4F"/>
    <w:rsid w:val="00DD0000"/>
    <w:rsid w:val="00DD0040"/>
    <w:rsid w:val="00DD10B4"/>
    <w:rsid w:val="00DD13F0"/>
    <w:rsid w:val="00DD15C4"/>
    <w:rsid w:val="00DD1F56"/>
    <w:rsid w:val="00DD270E"/>
    <w:rsid w:val="00DD3C86"/>
    <w:rsid w:val="00DD3F45"/>
    <w:rsid w:val="00DD424A"/>
    <w:rsid w:val="00DD443B"/>
    <w:rsid w:val="00DD4E3C"/>
    <w:rsid w:val="00DD4EA5"/>
    <w:rsid w:val="00DD7AD0"/>
    <w:rsid w:val="00DE1CB7"/>
    <w:rsid w:val="00DE212B"/>
    <w:rsid w:val="00DE2D9B"/>
    <w:rsid w:val="00DE3026"/>
    <w:rsid w:val="00DE5F61"/>
    <w:rsid w:val="00DF04CC"/>
    <w:rsid w:val="00DF2CFC"/>
    <w:rsid w:val="00DF2DF8"/>
    <w:rsid w:val="00DF3A94"/>
    <w:rsid w:val="00DF51C4"/>
    <w:rsid w:val="00DF6F97"/>
    <w:rsid w:val="00DF7092"/>
    <w:rsid w:val="00DF7214"/>
    <w:rsid w:val="00DF799F"/>
    <w:rsid w:val="00DF7DE2"/>
    <w:rsid w:val="00E00608"/>
    <w:rsid w:val="00E02197"/>
    <w:rsid w:val="00E03A23"/>
    <w:rsid w:val="00E04FBE"/>
    <w:rsid w:val="00E060B0"/>
    <w:rsid w:val="00E0630A"/>
    <w:rsid w:val="00E066E9"/>
    <w:rsid w:val="00E100C9"/>
    <w:rsid w:val="00E1147A"/>
    <w:rsid w:val="00E12EAC"/>
    <w:rsid w:val="00E1344A"/>
    <w:rsid w:val="00E1631C"/>
    <w:rsid w:val="00E1669F"/>
    <w:rsid w:val="00E171F3"/>
    <w:rsid w:val="00E1771C"/>
    <w:rsid w:val="00E2047E"/>
    <w:rsid w:val="00E20612"/>
    <w:rsid w:val="00E20E00"/>
    <w:rsid w:val="00E218E0"/>
    <w:rsid w:val="00E22BF2"/>
    <w:rsid w:val="00E25F67"/>
    <w:rsid w:val="00E26DEC"/>
    <w:rsid w:val="00E27F76"/>
    <w:rsid w:val="00E317CC"/>
    <w:rsid w:val="00E32295"/>
    <w:rsid w:val="00E3284E"/>
    <w:rsid w:val="00E3569E"/>
    <w:rsid w:val="00E369AA"/>
    <w:rsid w:val="00E36BBA"/>
    <w:rsid w:val="00E36C5A"/>
    <w:rsid w:val="00E36CCA"/>
    <w:rsid w:val="00E37232"/>
    <w:rsid w:val="00E401DD"/>
    <w:rsid w:val="00E41D5E"/>
    <w:rsid w:val="00E42773"/>
    <w:rsid w:val="00E43222"/>
    <w:rsid w:val="00E43465"/>
    <w:rsid w:val="00E43934"/>
    <w:rsid w:val="00E45504"/>
    <w:rsid w:val="00E4557B"/>
    <w:rsid w:val="00E46FBF"/>
    <w:rsid w:val="00E47C6D"/>
    <w:rsid w:val="00E51F7F"/>
    <w:rsid w:val="00E52534"/>
    <w:rsid w:val="00E5259B"/>
    <w:rsid w:val="00E52CBD"/>
    <w:rsid w:val="00E5417D"/>
    <w:rsid w:val="00E543AB"/>
    <w:rsid w:val="00E554DA"/>
    <w:rsid w:val="00E55AE7"/>
    <w:rsid w:val="00E55B9B"/>
    <w:rsid w:val="00E55CB1"/>
    <w:rsid w:val="00E55EA5"/>
    <w:rsid w:val="00E56600"/>
    <w:rsid w:val="00E56FF5"/>
    <w:rsid w:val="00E6182C"/>
    <w:rsid w:val="00E61949"/>
    <w:rsid w:val="00E61CF3"/>
    <w:rsid w:val="00E62BC1"/>
    <w:rsid w:val="00E6325C"/>
    <w:rsid w:val="00E634A9"/>
    <w:rsid w:val="00E636F5"/>
    <w:rsid w:val="00E63703"/>
    <w:rsid w:val="00E662B4"/>
    <w:rsid w:val="00E66ABF"/>
    <w:rsid w:val="00E67C43"/>
    <w:rsid w:val="00E70B58"/>
    <w:rsid w:val="00E72844"/>
    <w:rsid w:val="00E730A5"/>
    <w:rsid w:val="00E73C42"/>
    <w:rsid w:val="00E75292"/>
    <w:rsid w:val="00E758C5"/>
    <w:rsid w:val="00E75C89"/>
    <w:rsid w:val="00E76272"/>
    <w:rsid w:val="00E76424"/>
    <w:rsid w:val="00E76D2C"/>
    <w:rsid w:val="00E76F9F"/>
    <w:rsid w:val="00E776F5"/>
    <w:rsid w:val="00E80161"/>
    <w:rsid w:val="00E80AA8"/>
    <w:rsid w:val="00E8176A"/>
    <w:rsid w:val="00E82404"/>
    <w:rsid w:val="00E83146"/>
    <w:rsid w:val="00E83B67"/>
    <w:rsid w:val="00E83FB2"/>
    <w:rsid w:val="00E843BB"/>
    <w:rsid w:val="00E8687E"/>
    <w:rsid w:val="00E90B0F"/>
    <w:rsid w:val="00E90F08"/>
    <w:rsid w:val="00E91ACF"/>
    <w:rsid w:val="00E92133"/>
    <w:rsid w:val="00E924DF"/>
    <w:rsid w:val="00E92BF1"/>
    <w:rsid w:val="00E9322F"/>
    <w:rsid w:val="00E948D7"/>
    <w:rsid w:val="00E948DF"/>
    <w:rsid w:val="00E95BC9"/>
    <w:rsid w:val="00E96525"/>
    <w:rsid w:val="00E97230"/>
    <w:rsid w:val="00EA20C7"/>
    <w:rsid w:val="00EA3A60"/>
    <w:rsid w:val="00EA47BF"/>
    <w:rsid w:val="00EA48B9"/>
    <w:rsid w:val="00EA5BEE"/>
    <w:rsid w:val="00EA68BB"/>
    <w:rsid w:val="00EA6C30"/>
    <w:rsid w:val="00EA7666"/>
    <w:rsid w:val="00EA7C08"/>
    <w:rsid w:val="00EB1178"/>
    <w:rsid w:val="00EB18F9"/>
    <w:rsid w:val="00EB1F9F"/>
    <w:rsid w:val="00EB2064"/>
    <w:rsid w:val="00EB3481"/>
    <w:rsid w:val="00EB3568"/>
    <w:rsid w:val="00EB3FC9"/>
    <w:rsid w:val="00EB4C21"/>
    <w:rsid w:val="00EB593A"/>
    <w:rsid w:val="00EB5EB7"/>
    <w:rsid w:val="00EB62CD"/>
    <w:rsid w:val="00EB6847"/>
    <w:rsid w:val="00EB70BC"/>
    <w:rsid w:val="00EB71D9"/>
    <w:rsid w:val="00EB7F5A"/>
    <w:rsid w:val="00EC0B69"/>
    <w:rsid w:val="00EC1B2B"/>
    <w:rsid w:val="00EC41B4"/>
    <w:rsid w:val="00EC489C"/>
    <w:rsid w:val="00EC504D"/>
    <w:rsid w:val="00EC58AD"/>
    <w:rsid w:val="00EC650F"/>
    <w:rsid w:val="00EC7984"/>
    <w:rsid w:val="00ED067D"/>
    <w:rsid w:val="00ED0C0D"/>
    <w:rsid w:val="00ED0E71"/>
    <w:rsid w:val="00ED3C3F"/>
    <w:rsid w:val="00ED3D89"/>
    <w:rsid w:val="00ED3FE2"/>
    <w:rsid w:val="00ED4983"/>
    <w:rsid w:val="00EE128F"/>
    <w:rsid w:val="00EE16F1"/>
    <w:rsid w:val="00EE231A"/>
    <w:rsid w:val="00EE2BAC"/>
    <w:rsid w:val="00EE3CC2"/>
    <w:rsid w:val="00EE4073"/>
    <w:rsid w:val="00EE649A"/>
    <w:rsid w:val="00EE658D"/>
    <w:rsid w:val="00EE6B48"/>
    <w:rsid w:val="00EE76CD"/>
    <w:rsid w:val="00EE7954"/>
    <w:rsid w:val="00EF0392"/>
    <w:rsid w:val="00EF17BD"/>
    <w:rsid w:val="00EF40E3"/>
    <w:rsid w:val="00EF4560"/>
    <w:rsid w:val="00EF491A"/>
    <w:rsid w:val="00EF5995"/>
    <w:rsid w:val="00EF6067"/>
    <w:rsid w:val="00EF62D8"/>
    <w:rsid w:val="00EF6F4E"/>
    <w:rsid w:val="00EF73D5"/>
    <w:rsid w:val="00EF7ECC"/>
    <w:rsid w:val="00F00079"/>
    <w:rsid w:val="00F00738"/>
    <w:rsid w:val="00F00D19"/>
    <w:rsid w:val="00F00F99"/>
    <w:rsid w:val="00F010FF"/>
    <w:rsid w:val="00F01373"/>
    <w:rsid w:val="00F01FFC"/>
    <w:rsid w:val="00F028D7"/>
    <w:rsid w:val="00F02ABE"/>
    <w:rsid w:val="00F02B4F"/>
    <w:rsid w:val="00F04AFD"/>
    <w:rsid w:val="00F05512"/>
    <w:rsid w:val="00F077AF"/>
    <w:rsid w:val="00F078A9"/>
    <w:rsid w:val="00F07B90"/>
    <w:rsid w:val="00F07D5E"/>
    <w:rsid w:val="00F11BE7"/>
    <w:rsid w:val="00F12D56"/>
    <w:rsid w:val="00F1397C"/>
    <w:rsid w:val="00F14F4B"/>
    <w:rsid w:val="00F15B6C"/>
    <w:rsid w:val="00F168EC"/>
    <w:rsid w:val="00F201A9"/>
    <w:rsid w:val="00F20EA1"/>
    <w:rsid w:val="00F210CF"/>
    <w:rsid w:val="00F21908"/>
    <w:rsid w:val="00F224C9"/>
    <w:rsid w:val="00F22F3D"/>
    <w:rsid w:val="00F25823"/>
    <w:rsid w:val="00F25BAC"/>
    <w:rsid w:val="00F26B87"/>
    <w:rsid w:val="00F30734"/>
    <w:rsid w:val="00F30D9F"/>
    <w:rsid w:val="00F31D2A"/>
    <w:rsid w:val="00F32152"/>
    <w:rsid w:val="00F3264D"/>
    <w:rsid w:val="00F33138"/>
    <w:rsid w:val="00F336FF"/>
    <w:rsid w:val="00F345A2"/>
    <w:rsid w:val="00F3732E"/>
    <w:rsid w:val="00F37596"/>
    <w:rsid w:val="00F37762"/>
    <w:rsid w:val="00F37E35"/>
    <w:rsid w:val="00F4006D"/>
    <w:rsid w:val="00F4033D"/>
    <w:rsid w:val="00F41C10"/>
    <w:rsid w:val="00F41DCF"/>
    <w:rsid w:val="00F43C4A"/>
    <w:rsid w:val="00F43C72"/>
    <w:rsid w:val="00F43CD0"/>
    <w:rsid w:val="00F4650C"/>
    <w:rsid w:val="00F46520"/>
    <w:rsid w:val="00F46D69"/>
    <w:rsid w:val="00F544CA"/>
    <w:rsid w:val="00F54DEB"/>
    <w:rsid w:val="00F557D5"/>
    <w:rsid w:val="00F562BC"/>
    <w:rsid w:val="00F562EE"/>
    <w:rsid w:val="00F5794C"/>
    <w:rsid w:val="00F616D4"/>
    <w:rsid w:val="00F63A41"/>
    <w:rsid w:val="00F64E69"/>
    <w:rsid w:val="00F6527E"/>
    <w:rsid w:val="00F656A4"/>
    <w:rsid w:val="00F666CE"/>
    <w:rsid w:val="00F667C7"/>
    <w:rsid w:val="00F6695E"/>
    <w:rsid w:val="00F67A2B"/>
    <w:rsid w:val="00F70BF6"/>
    <w:rsid w:val="00F71F6D"/>
    <w:rsid w:val="00F72726"/>
    <w:rsid w:val="00F72739"/>
    <w:rsid w:val="00F733D9"/>
    <w:rsid w:val="00F7417E"/>
    <w:rsid w:val="00F742DF"/>
    <w:rsid w:val="00F7523E"/>
    <w:rsid w:val="00F758E0"/>
    <w:rsid w:val="00F75DDF"/>
    <w:rsid w:val="00F77539"/>
    <w:rsid w:val="00F775B5"/>
    <w:rsid w:val="00F77643"/>
    <w:rsid w:val="00F777DF"/>
    <w:rsid w:val="00F80767"/>
    <w:rsid w:val="00F808B7"/>
    <w:rsid w:val="00F80D09"/>
    <w:rsid w:val="00F81600"/>
    <w:rsid w:val="00F81924"/>
    <w:rsid w:val="00F81D4C"/>
    <w:rsid w:val="00F81DFD"/>
    <w:rsid w:val="00F82843"/>
    <w:rsid w:val="00F82E65"/>
    <w:rsid w:val="00F83B36"/>
    <w:rsid w:val="00F845B8"/>
    <w:rsid w:val="00F853F1"/>
    <w:rsid w:val="00F85858"/>
    <w:rsid w:val="00F8639A"/>
    <w:rsid w:val="00F86443"/>
    <w:rsid w:val="00F86607"/>
    <w:rsid w:val="00F87457"/>
    <w:rsid w:val="00F87661"/>
    <w:rsid w:val="00F90F3D"/>
    <w:rsid w:val="00F93779"/>
    <w:rsid w:val="00F93983"/>
    <w:rsid w:val="00F93D65"/>
    <w:rsid w:val="00F95515"/>
    <w:rsid w:val="00F9640C"/>
    <w:rsid w:val="00F972B2"/>
    <w:rsid w:val="00F978E7"/>
    <w:rsid w:val="00FA06EA"/>
    <w:rsid w:val="00FA0A11"/>
    <w:rsid w:val="00FA0EED"/>
    <w:rsid w:val="00FA2F1B"/>
    <w:rsid w:val="00FA38F7"/>
    <w:rsid w:val="00FA4C54"/>
    <w:rsid w:val="00FA683A"/>
    <w:rsid w:val="00FA7DC4"/>
    <w:rsid w:val="00FB0F8A"/>
    <w:rsid w:val="00FB1043"/>
    <w:rsid w:val="00FB1744"/>
    <w:rsid w:val="00FB17D1"/>
    <w:rsid w:val="00FB21FC"/>
    <w:rsid w:val="00FB2ADD"/>
    <w:rsid w:val="00FB353F"/>
    <w:rsid w:val="00FB3F73"/>
    <w:rsid w:val="00FB6386"/>
    <w:rsid w:val="00FB6D16"/>
    <w:rsid w:val="00FB7B9B"/>
    <w:rsid w:val="00FB7D8B"/>
    <w:rsid w:val="00FC2421"/>
    <w:rsid w:val="00FC3A33"/>
    <w:rsid w:val="00FC59E9"/>
    <w:rsid w:val="00FC61E4"/>
    <w:rsid w:val="00FC73E2"/>
    <w:rsid w:val="00FC763B"/>
    <w:rsid w:val="00FC77E1"/>
    <w:rsid w:val="00FD0709"/>
    <w:rsid w:val="00FD18C8"/>
    <w:rsid w:val="00FD18DF"/>
    <w:rsid w:val="00FD348D"/>
    <w:rsid w:val="00FD43B0"/>
    <w:rsid w:val="00FD5DB9"/>
    <w:rsid w:val="00FD6771"/>
    <w:rsid w:val="00FD69BC"/>
    <w:rsid w:val="00FE031E"/>
    <w:rsid w:val="00FE09A0"/>
    <w:rsid w:val="00FE12CF"/>
    <w:rsid w:val="00FE1BD1"/>
    <w:rsid w:val="00FE202A"/>
    <w:rsid w:val="00FE2E1A"/>
    <w:rsid w:val="00FE3314"/>
    <w:rsid w:val="00FE3A58"/>
    <w:rsid w:val="00FE4AE7"/>
    <w:rsid w:val="00FE4DE5"/>
    <w:rsid w:val="00FE4E8A"/>
    <w:rsid w:val="00FE56CC"/>
    <w:rsid w:val="00FE704C"/>
    <w:rsid w:val="00FE7891"/>
    <w:rsid w:val="00FE7901"/>
    <w:rsid w:val="00FF11AD"/>
    <w:rsid w:val="00FF2169"/>
    <w:rsid w:val="00FF41A3"/>
    <w:rsid w:val="00FF50A0"/>
    <w:rsid w:val="00FF543E"/>
    <w:rsid w:val="00FF5B0C"/>
    <w:rsid w:val="00FF5CE0"/>
    <w:rsid w:val="00FF6AE3"/>
    <w:rsid w:val="00FF6C5D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3288B"/>
  <w15:docId w15:val="{B1F8E15F-3693-4CE4-8108-6E2B20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5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54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4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4F5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14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E4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4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54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link w:val="Ttulo1"/>
    <w:uiPriority w:val="9"/>
    <w:rsid w:val="00BE54F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E54F5"/>
    <w:pPr>
      <w:jc w:val="right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E54F5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54F5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BE54F5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Ttulo3Car">
    <w:name w:val="Título 3 Car"/>
    <w:link w:val="Ttulo3"/>
    <w:uiPriority w:val="9"/>
    <w:rsid w:val="00BE54F5"/>
    <w:rPr>
      <w:rFonts w:ascii="Calibri Light" w:eastAsia="Times New Roman" w:hAnsi="Calibri Light" w:cs="Times New Roman"/>
      <w:color w:val="1F4D78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54F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E54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677764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B144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B144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6FC2"/>
    <w:pPr>
      <w:tabs>
        <w:tab w:val="right" w:leader="dot" w:pos="9394"/>
      </w:tabs>
      <w:spacing w:after="100"/>
      <w:ind w:left="328" w:firstLine="90"/>
    </w:pPr>
  </w:style>
  <w:style w:type="paragraph" w:styleId="TDC3">
    <w:name w:val="toc 3"/>
    <w:basedOn w:val="Normal"/>
    <w:next w:val="Normal"/>
    <w:autoRedefine/>
    <w:uiPriority w:val="39"/>
    <w:unhideWhenUsed/>
    <w:rsid w:val="00AB1442"/>
    <w:pPr>
      <w:spacing w:after="100"/>
      <w:ind w:left="400"/>
    </w:pPr>
  </w:style>
  <w:style w:type="character" w:customStyle="1" w:styleId="Ttulo4Car">
    <w:name w:val="Título 4 Car"/>
    <w:link w:val="Ttulo4"/>
    <w:uiPriority w:val="9"/>
    <w:rsid w:val="00AB1442"/>
    <w:rPr>
      <w:rFonts w:ascii="Calibri Light" w:eastAsia="Times New Roman" w:hAnsi="Calibri Light" w:cs="Times New Roman"/>
      <w:i/>
      <w:iCs/>
      <w:color w:val="2E74B5"/>
      <w:sz w:val="20"/>
      <w:szCs w:val="20"/>
      <w:lang w:val="es-ES_tradnl" w:eastAsia="es-ES"/>
    </w:rPr>
  </w:style>
  <w:style w:type="paragraph" w:customStyle="1" w:styleId="Default">
    <w:name w:val="Default"/>
    <w:rsid w:val="000C0E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E72844"/>
  </w:style>
  <w:style w:type="character" w:customStyle="1" w:styleId="TextonotapieCar">
    <w:name w:val="Texto nota pie Car"/>
    <w:link w:val="Textonotapie"/>
    <w:rsid w:val="00E72844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unhideWhenUsed/>
    <w:rsid w:val="00E72844"/>
    <w:rPr>
      <w:vertAlign w:val="superscript"/>
    </w:rPr>
  </w:style>
  <w:style w:type="paragraph" w:customStyle="1" w:styleId="Textoindependiente1">
    <w:name w:val="Texto independiente 1"/>
    <w:basedOn w:val="Textoindependiente2"/>
    <w:rsid w:val="00083368"/>
    <w:rPr>
      <w:rFonts w:ascii="Calibri" w:hAnsi="Calibri"/>
      <w:lang w:val="en-US" w:eastAsia="en-US"/>
    </w:rPr>
  </w:style>
  <w:style w:type="paragraph" w:customStyle="1" w:styleId="Outline1L1">
    <w:name w:val="Outline1_L1"/>
    <w:basedOn w:val="Normal"/>
    <w:next w:val="Outline1L2"/>
    <w:uiPriority w:val="99"/>
    <w:rsid w:val="00083368"/>
    <w:pPr>
      <w:keepNext/>
      <w:numPr>
        <w:numId w:val="9"/>
      </w:numPr>
      <w:spacing w:after="240"/>
      <w:outlineLvl w:val="0"/>
    </w:pPr>
    <w:rPr>
      <w:rFonts w:eastAsia="MS Mincho"/>
      <w:sz w:val="24"/>
      <w:szCs w:val="24"/>
      <w:lang w:val="en-US" w:eastAsia="en-US"/>
    </w:rPr>
  </w:style>
  <w:style w:type="paragraph" w:customStyle="1" w:styleId="Outline1L2">
    <w:name w:val="Outline1_L2"/>
    <w:basedOn w:val="Outline1L1"/>
    <w:next w:val="Outline1L1"/>
    <w:uiPriority w:val="99"/>
    <w:rsid w:val="00083368"/>
    <w:pPr>
      <w:numPr>
        <w:ilvl w:val="1"/>
      </w:numPr>
      <w:outlineLvl w:val="1"/>
    </w:pPr>
  </w:style>
  <w:style w:type="paragraph" w:customStyle="1" w:styleId="Outline1L3">
    <w:name w:val="Outline1_L3"/>
    <w:basedOn w:val="Outline1L2"/>
    <w:next w:val="Outline1L1"/>
    <w:uiPriority w:val="99"/>
    <w:rsid w:val="00083368"/>
    <w:pPr>
      <w:keepNext w:val="0"/>
      <w:numPr>
        <w:ilvl w:val="2"/>
      </w:numPr>
      <w:tabs>
        <w:tab w:val="num" w:pos="2241"/>
      </w:tabs>
      <w:outlineLvl w:val="2"/>
    </w:pPr>
  </w:style>
  <w:style w:type="paragraph" w:customStyle="1" w:styleId="Outline1L4">
    <w:name w:val="Outline1_L4"/>
    <w:basedOn w:val="Outline1L3"/>
    <w:next w:val="Normal"/>
    <w:uiPriority w:val="99"/>
    <w:rsid w:val="00083368"/>
    <w:pPr>
      <w:numPr>
        <w:ilvl w:val="3"/>
      </w:numPr>
      <w:tabs>
        <w:tab w:val="clear" w:pos="2880"/>
        <w:tab w:val="num" w:pos="2241"/>
        <w:tab w:val="num" w:pos="2870"/>
      </w:tabs>
      <w:outlineLvl w:val="3"/>
    </w:pPr>
  </w:style>
  <w:style w:type="paragraph" w:customStyle="1" w:styleId="Outline1L5">
    <w:name w:val="Outline1_L5"/>
    <w:basedOn w:val="Outline1L4"/>
    <w:next w:val="Normal"/>
    <w:uiPriority w:val="99"/>
    <w:rsid w:val="00083368"/>
    <w:pPr>
      <w:numPr>
        <w:ilvl w:val="4"/>
      </w:numPr>
      <w:outlineLvl w:val="4"/>
    </w:pPr>
  </w:style>
  <w:style w:type="paragraph" w:customStyle="1" w:styleId="Outline1L6">
    <w:name w:val="Outline1_L6"/>
    <w:basedOn w:val="Outline1L5"/>
    <w:next w:val="Normal"/>
    <w:uiPriority w:val="99"/>
    <w:rsid w:val="00083368"/>
    <w:pPr>
      <w:numPr>
        <w:ilvl w:val="5"/>
      </w:numPr>
      <w:outlineLvl w:val="5"/>
    </w:pPr>
  </w:style>
  <w:style w:type="character" w:customStyle="1" w:styleId="Ttulo5Car">
    <w:name w:val="Título 5 Car"/>
    <w:link w:val="Ttulo5"/>
    <w:uiPriority w:val="9"/>
    <w:rsid w:val="005E444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styleId="Referenciasutil">
    <w:name w:val="Subtle Reference"/>
    <w:uiPriority w:val="31"/>
    <w:qFormat/>
    <w:rsid w:val="00AD19BE"/>
    <w:rPr>
      <w:smallCaps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0AD19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AD19BE"/>
    <w:rPr>
      <w:rFonts w:ascii="Times New Roman" w:eastAsia="Times New Roman" w:hAnsi="Times New Roman"/>
      <w:i/>
      <w:iCs/>
      <w:color w:val="404040"/>
      <w:lang w:val="es-ES_tradnl" w:eastAsia="es-ES"/>
    </w:rPr>
  </w:style>
  <w:style w:type="paragraph" w:styleId="Textonotaalfinal">
    <w:name w:val="endnote text"/>
    <w:basedOn w:val="Normal"/>
    <w:link w:val="TextonotaalfinalCar"/>
    <w:rsid w:val="00F80D09"/>
    <w:rPr>
      <w:lang w:val="es-ES"/>
    </w:rPr>
  </w:style>
  <w:style w:type="character" w:customStyle="1" w:styleId="TextonotaalfinalCar">
    <w:name w:val="Texto nota al final Car"/>
    <w:link w:val="Textonotaalfinal"/>
    <w:rsid w:val="00F80D09"/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uiPriority w:val="99"/>
    <w:semiHidden/>
    <w:unhideWhenUsed/>
    <w:rsid w:val="00F57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94C"/>
  </w:style>
  <w:style w:type="character" w:customStyle="1" w:styleId="TextocomentarioCar">
    <w:name w:val="Texto comentario Car"/>
    <w:link w:val="Textocomentario"/>
    <w:uiPriority w:val="99"/>
    <w:semiHidden/>
    <w:rsid w:val="00F5794C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9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794C"/>
    <w:rPr>
      <w:rFonts w:ascii="Times New Roman" w:eastAsia="Times New Roman" w:hAnsi="Times New Roman"/>
      <w:b/>
      <w:bCs/>
      <w:lang w:val="es-ES_tradnl" w:eastAsia="es-ES"/>
    </w:rPr>
  </w:style>
  <w:style w:type="table" w:customStyle="1" w:styleId="Tablaconcuadrcula4-nfasis11">
    <w:name w:val="Tabla con cuadrícula 4 - Énfasis 11"/>
    <w:basedOn w:val="Tablanormal"/>
    <w:uiPriority w:val="49"/>
    <w:rsid w:val="003468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99"/>
    <w:semiHidden/>
    <w:rsid w:val="00714E28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67DFC"/>
    <w:pPr>
      <w:spacing w:before="100" w:beforeAutospacing="1" w:after="100" w:afterAutospacing="1"/>
    </w:pPr>
    <w:rPr>
      <w:sz w:val="24"/>
      <w:szCs w:val="24"/>
      <w:lang w:val="es-SV" w:eastAsia="es-SV"/>
    </w:rPr>
  </w:style>
  <w:style w:type="paragraph" w:styleId="Ttulo">
    <w:name w:val="Title"/>
    <w:basedOn w:val="Normal"/>
    <w:next w:val="Normal"/>
    <w:link w:val="TtuloCar"/>
    <w:qFormat/>
    <w:rsid w:val="00605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rsid w:val="006059B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1EF29-B0B0-4F92-B6A4-267D3FB5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4902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Links>
    <vt:vector size="114" baseType="variant"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_Toc516748922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_Toc516748921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_Toc516748920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_Toc516748919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_Toc516748918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_Toc516748917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_Toc516748916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_Toc516748915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_Toc516748914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_Toc516748913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_Toc516748912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_Toc516748911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_Toc516748910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_Toc516748909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_Toc516748908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_Toc516748907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_Toc516748906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_Toc516748905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_Toc516748904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Fermin Garcia</dc:creator>
  <cp:lastModifiedBy>Luis Orlando  Mendez Funes</cp:lastModifiedBy>
  <cp:revision>12</cp:revision>
  <cp:lastPrinted>2023-03-15T14:15:00Z</cp:lastPrinted>
  <dcterms:created xsi:type="dcterms:W3CDTF">2023-03-15T14:06:00Z</dcterms:created>
  <dcterms:modified xsi:type="dcterms:W3CDTF">2023-03-15T14:16:00Z</dcterms:modified>
</cp:coreProperties>
</file>