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EB" w:rsidRPr="00BA093C" w:rsidRDefault="008274EB" w:rsidP="00BE54F5">
      <w:pPr>
        <w:jc w:val="center"/>
        <w:rPr>
          <w:rFonts w:ascii="Candara" w:hAnsi="Candara"/>
          <w:b/>
          <w:bCs/>
          <w:sz w:val="24"/>
          <w:szCs w:val="24"/>
          <w:lang w:val="es-SV"/>
        </w:rPr>
      </w:pPr>
      <w:bookmarkStart w:id="0" w:name="_GoBack"/>
      <w:bookmarkEnd w:id="0"/>
    </w:p>
    <w:p w:rsidR="008274EB" w:rsidRDefault="00AF4C2B" w:rsidP="00BE54F5">
      <w:pPr>
        <w:jc w:val="center"/>
        <w:rPr>
          <w:rFonts w:ascii="Candara" w:hAnsi="Candara"/>
          <w:b/>
          <w:bCs/>
          <w:sz w:val="24"/>
          <w:szCs w:val="24"/>
        </w:rPr>
      </w:pPr>
      <w:r>
        <w:rPr>
          <w:noProof/>
          <w:lang w:val="en-US" w:eastAsia="en-US"/>
        </w:rPr>
        <w:drawing>
          <wp:anchor distT="0" distB="0" distL="114300" distR="114300" simplePos="0" relativeHeight="251661312" behindDoc="1" locked="0" layoutInCell="1" allowOverlap="1" wp14:anchorId="576B4A86" wp14:editId="3DC44701">
            <wp:simplePos x="0" y="0"/>
            <wp:positionH relativeFrom="margin">
              <wp:posOffset>-178132</wp:posOffset>
            </wp:positionH>
            <wp:positionV relativeFrom="paragraph">
              <wp:posOffset>89172</wp:posOffset>
            </wp:positionV>
            <wp:extent cx="6315699" cy="8160011"/>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2637" cy="816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Default="00BE54F5"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Pr="007F50E2"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AF4C2B" w:rsidP="00AF4C2B">
      <w:pPr>
        <w:tabs>
          <w:tab w:val="left" w:pos="0"/>
          <w:tab w:val="left" w:pos="9214"/>
        </w:tabs>
        <w:autoSpaceDE w:val="0"/>
        <w:autoSpaceDN w:val="0"/>
        <w:adjustRightInd w:val="0"/>
        <w:ind w:left="3240" w:hanging="4658"/>
        <w:rPr>
          <w:rFonts w:ascii="Candara" w:hAnsi="Candara"/>
          <w:b/>
          <w:sz w:val="24"/>
          <w:szCs w:val="24"/>
        </w:rPr>
      </w:pPr>
      <w:r>
        <w:rPr>
          <w:rFonts w:ascii="Candara" w:hAnsi="Candara"/>
          <w:b/>
          <w:sz w:val="24"/>
          <w:szCs w:val="24"/>
        </w:rPr>
        <w:t xml:space="preserve">                                                                                          </w:t>
      </w:r>
      <w:r w:rsidR="00BE54F5" w:rsidRPr="007F50E2">
        <w:rPr>
          <w:rFonts w:ascii="Candara" w:hAnsi="Candara"/>
          <w:b/>
          <w:sz w:val="24"/>
          <w:szCs w:val="24"/>
        </w:rPr>
        <w:t xml:space="preserve">INFORME </w:t>
      </w:r>
      <w:r w:rsidR="005768FD" w:rsidRPr="007F50E2">
        <w:rPr>
          <w:rFonts w:ascii="Candara" w:hAnsi="Candara"/>
          <w:b/>
          <w:sz w:val="24"/>
          <w:szCs w:val="24"/>
        </w:rPr>
        <w:t xml:space="preserve">PRELIMINAR </w:t>
      </w:r>
      <w:r w:rsidR="00BE54F5" w:rsidRPr="007F50E2">
        <w:rPr>
          <w:rFonts w:ascii="Candara" w:hAnsi="Candara"/>
          <w:b/>
          <w:sz w:val="24"/>
          <w:szCs w:val="24"/>
        </w:rPr>
        <w:t xml:space="preserve">DE GESTION DE LAS </w:t>
      </w:r>
      <w:r>
        <w:rPr>
          <w:rFonts w:ascii="Candara" w:hAnsi="Candara"/>
          <w:b/>
          <w:sz w:val="24"/>
          <w:szCs w:val="24"/>
        </w:rPr>
        <w:t xml:space="preserve">                   </w:t>
      </w:r>
      <w:r w:rsidR="00BE54F5" w:rsidRPr="007F50E2">
        <w:rPr>
          <w:rFonts w:ascii="Candara" w:hAnsi="Candara"/>
          <w:b/>
          <w:sz w:val="24"/>
          <w:szCs w:val="24"/>
        </w:rPr>
        <w:t xml:space="preserve">FINANZAS </w:t>
      </w:r>
      <w:r w:rsidR="00BF251D" w:rsidRPr="007F50E2">
        <w:rPr>
          <w:rFonts w:ascii="Candara" w:hAnsi="Candara"/>
          <w:b/>
          <w:sz w:val="24"/>
          <w:szCs w:val="24"/>
        </w:rPr>
        <w:t>PÚBLICAS</w:t>
      </w:r>
      <w:r w:rsidR="00BE54F5" w:rsidRPr="007F50E2">
        <w:rPr>
          <w:rFonts w:ascii="Candara" w:hAnsi="Candara"/>
          <w:b/>
          <w:sz w:val="24"/>
          <w:szCs w:val="24"/>
        </w:rPr>
        <w:t xml:space="preserve"> </w:t>
      </w:r>
    </w:p>
    <w:p w:rsidR="00BE54F5" w:rsidRPr="007F50E2" w:rsidRDefault="00BE54F5"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1B5B81" w:rsidRPr="007F50E2" w:rsidRDefault="001B5B81" w:rsidP="00BE54F5">
      <w:pPr>
        <w:jc w:val="center"/>
        <w:rPr>
          <w:rFonts w:ascii="Candara" w:hAnsi="Candara"/>
          <w:b/>
          <w:bCs/>
          <w:sz w:val="24"/>
          <w:szCs w:val="24"/>
        </w:rPr>
      </w:pPr>
    </w:p>
    <w:p w:rsidR="00BE54F5" w:rsidRPr="007F50E2" w:rsidRDefault="001E1C63" w:rsidP="00BE54F5">
      <w:pPr>
        <w:jc w:val="center"/>
        <w:rPr>
          <w:rFonts w:ascii="Candara" w:hAnsi="Candara"/>
          <w:b/>
          <w:bCs/>
          <w:sz w:val="24"/>
          <w:szCs w:val="24"/>
        </w:rPr>
      </w:pPr>
      <w:r>
        <w:rPr>
          <w:rFonts w:ascii="Candara" w:hAnsi="Candara"/>
          <w:b/>
          <w:bCs/>
          <w:sz w:val="24"/>
          <w:szCs w:val="24"/>
        </w:rPr>
        <w:t xml:space="preserve"> </w:t>
      </w:r>
      <w:r w:rsidR="005767D6">
        <w:rPr>
          <w:rFonts w:ascii="Candara" w:hAnsi="Candara"/>
          <w:b/>
          <w:bCs/>
          <w:sz w:val="24"/>
          <w:szCs w:val="24"/>
        </w:rPr>
        <w:t>A</w:t>
      </w:r>
      <w:r w:rsidR="00065616">
        <w:rPr>
          <w:rFonts w:ascii="Candara" w:hAnsi="Candara"/>
          <w:b/>
          <w:bCs/>
          <w:sz w:val="24"/>
          <w:szCs w:val="24"/>
        </w:rPr>
        <w:t>l mes de</w:t>
      </w:r>
      <w:r>
        <w:rPr>
          <w:rFonts w:ascii="Candara" w:hAnsi="Candara"/>
          <w:b/>
          <w:bCs/>
          <w:sz w:val="24"/>
          <w:szCs w:val="24"/>
        </w:rPr>
        <w:t xml:space="preserve"> </w:t>
      </w:r>
      <w:r w:rsidR="006854AC">
        <w:rPr>
          <w:rFonts w:ascii="Candara" w:hAnsi="Candara"/>
          <w:b/>
          <w:bCs/>
          <w:sz w:val="24"/>
          <w:szCs w:val="24"/>
        </w:rPr>
        <w:t>diciembre</w:t>
      </w:r>
      <w:r>
        <w:rPr>
          <w:rFonts w:ascii="Candara" w:hAnsi="Candara"/>
          <w:b/>
          <w:bCs/>
          <w:sz w:val="24"/>
          <w:szCs w:val="24"/>
        </w:rPr>
        <w:t xml:space="preserve"> de </w:t>
      </w:r>
      <w:r w:rsidR="00042C94">
        <w:rPr>
          <w:rFonts w:ascii="Candara" w:hAnsi="Candara"/>
          <w:b/>
          <w:bCs/>
          <w:sz w:val="24"/>
          <w:szCs w:val="24"/>
        </w:rPr>
        <w:t>2020</w:t>
      </w: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Default="00BE54F5"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Default="008274EB" w:rsidP="00BE54F5">
      <w:pPr>
        <w:jc w:val="center"/>
        <w:rPr>
          <w:rFonts w:ascii="Candara" w:hAnsi="Candara"/>
          <w:b/>
          <w:bCs/>
          <w:sz w:val="24"/>
          <w:szCs w:val="24"/>
        </w:rPr>
      </w:pPr>
    </w:p>
    <w:p w:rsidR="008274EB" w:rsidRPr="007F50E2" w:rsidRDefault="008274EB"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p>
    <w:p w:rsidR="00BE54F5" w:rsidRPr="007F50E2" w:rsidRDefault="00BE54F5" w:rsidP="00BE54F5">
      <w:pPr>
        <w:jc w:val="center"/>
        <w:rPr>
          <w:rFonts w:ascii="Candara" w:hAnsi="Candara"/>
          <w:b/>
          <w:bCs/>
          <w:sz w:val="24"/>
          <w:szCs w:val="24"/>
        </w:rPr>
      </w:pPr>
      <w:r w:rsidRPr="007F50E2">
        <w:rPr>
          <w:rFonts w:ascii="Candara" w:hAnsi="Candara"/>
          <w:b/>
          <w:bCs/>
          <w:sz w:val="24"/>
          <w:szCs w:val="24"/>
        </w:rPr>
        <w:t xml:space="preserve">San Salvador, </w:t>
      </w:r>
      <w:r w:rsidR="006854AC">
        <w:rPr>
          <w:rFonts w:ascii="Candara" w:hAnsi="Candara"/>
          <w:b/>
          <w:bCs/>
          <w:sz w:val="24"/>
          <w:szCs w:val="24"/>
        </w:rPr>
        <w:t>febrero</w:t>
      </w:r>
      <w:r w:rsidRPr="007F50E2">
        <w:rPr>
          <w:rFonts w:ascii="Candara" w:hAnsi="Candara"/>
          <w:b/>
          <w:bCs/>
          <w:sz w:val="24"/>
          <w:szCs w:val="24"/>
        </w:rPr>
        <w:t xml:space="preserve"> de </w:t>
      </w:r>
      <w:r w:rsidR="00042C94">
        <w:rPr>
          <w:rFonts w:ascii="Candara" w:hAnsi="Candara"/>
          <w:b/>
          <w:bCs/>
          <w:sz w:val="24"/>
          <w:szCs w:val="24"/>
        </w:rPr>
        <w:t>202</w:t>
      </w:r>
      <w:r w:rsidR="006854AC">
        <w:rPr>
          <w:rFonts w:ascii="Candara" w:hAnsi="Candara"/>
          <w:b/>
          <w:bCs/>
          <w:sz w:val="24"/>
          <w:szCs w:val="24"/>
        </w:rPr>
        <w:t>1</w:t>
      </w:r>
      <w:r w:rsidRPr="007F50E2">
        <w:rPr>
          <w:rFonts w:ascii="Candara" w:hAnsi="Candara"/>
          <w:b/>
          <w:bCs/>
          <w:sz w:val="24"/>
          <w:szCs w:val="24"/>
        </w:rPr>
        <w:t xml:space="preserve"> </w:t>
      </w: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AB1442" w:rsidRPr="007F50E2" w:rsidRDefault="00AB1442" w:rsidP="00BE54F5">
      <w:pPr>
        <w:jc w:val="center"/>
        <w:rPr>
          <w:rFonts w:ascii="Candara" w:hAnsi="Candara"/>
          <w:b/>
          <w:bCs/>
          <w:sz w:val="24"/>
          <w:szCs w:val="24"/>
        </w:rPr>
      </w:pPr>
    </w:p>
    <w:p w:rsidR="00F43C4A" w:rsidRPr="007F50E2" w:rsidRDefault="00F43C4A" w:rsidP="00F43C4A">
      <w:pPr>
        <w:rPr>
          <w:lang w:val="es-MX"/>
        </w:rPr>
      </w:pPr>
      <w:bookmarkStart w:id="1" w:name="_Toc505951453"/>
    </w:p>
    <w:tbl>
      <w:tblPr>
        <w:tblW w:w="9837" w:type="dxa"/>
        <w:tblInd w:w="55" w:type="dxa"/>
        <w:tblCellMar>
          <w:left w:w="70" w:type="dxa"/>
          <w:right w:w="70" w:type="dxa"/>
        </w:tblCellMar>
        <w:tblLook w:val="04A0" w:firstRow="1" w:lastRow="0" w:firstColumn="1" w:lastColumn="0" w:noHBand="0" w:noVBand="1"/>
      </w:tblPr>
      <w:tblGrid>
        <w:gridCol w:w="8804"/>
        <w:gridCol w:w="258"/>
        <w:gridCol w:w="258"/>
        <w:gridCol w:w="258"/>
        <w:gridCol w:w="259"/>
      </w:tblGrid>
      <w:tr w:rsidR="000F2598" w:rsidRPr="007F50E2" w:rsidTr="00390F5A">
        <w:trPr>
          <w:trHeight w:val="9725"/>
        </w:trPr>
        <w:tc>
          <w:tcPr>
            <w:tcW w:w="8804" w:type="dxa"/>
            <w:tcBorders>
              <w:top w:val="nil"/>
              <w:left w:val="nil"/>
              <w:bottom w:val="nil"/>
              <w:right w:val="nil"/>
            </w:tcBorders>
            <w:shd w:val="clear" w:color="000000" w:fill="FFFFFF"/>
            <w:noWrap/>
            <w:vAlign w:val="bottom"/>
          </w:tcPr>
          <w:bookmarkEnd w:id="1" w:displacedByCustomXml="next"/>
          <w:bookmarkStart w:id="2" w:name="_Toc388257452" w:displacedByCustomXml="next"/>
          <w:bookmarkStart w:id="3" w:name="_Toc319049207" w:displacedByCustomXml="next"/>
          <w:bookmarkStart w:id="4" w:name="_Toc308681661" w:displacedByCustomXml="next"/>
          <w:sdt>
            <w:sdtPr>
              <w:rPr>
                <w:rFonts w:ascii="Times New Roman" w:hAnsi="Times New Roman"/>
                <w:color w:val="auto"/>
                <w:sz w:val="20"/>
                <w:szCs w:val="20"/>
                <w:lang w:val="es-ES" w:eastAsia="es-ES"/>
              </w:rPr>
              <w:id w:val="52439633"/>
              <w:docPartObj>
                <w:docPartGallery w:val="Table of Contents"/>
                <w:docPartUnique/>
              </w:docPartObj>
            </w:sdtPr>
            <w:sdtEndPr>
              <w:rPr>
                <w:b/>
                <w:bCs/>
              </w:rPr>
            </w:sdtEndPr>
            <w:sdtContent>
              <w:p w:rsidR="006B1211" w:rsidRDefault="006B1211">
                <w:pPr>
                  <w:pStyle w:val="TOCHeading"/>
                </w:pPr>
                <w:r>
                  <w:rPr>
                    <w:lang w:val="es-ES"/>
                  </w:rPr>
                  <w:t>Contenido</w:t>
                </w:r>
              </w:p>
              <w:p w:rsidR="007C58DB" w:rsidRDefault="006B1211">
                <w:pPr>
                  <w:pStyle w:val="TOC1"/>
                  <w:tabs>
                    <w:tab w:val="right" w:leader="dot" w:pos="9394"/>
                  </w:tabs>
                  <w:rPr>
                    <w:rFonts w:asciiTheme="minorHAnsi" w:eastAsiaTheme="minorEastAsia" w:hAnsiTheme="minorHAnsi" w:cstheme="minorBidi"/>
                    <w:noProof/>
                    <w:sz w:val="22"/>
                    <w:szCs w:val="22"/>
                    <w:lang w:val="es-SV" w:eastAsia="es-SV"/>
                  </w:rPr>
                </w:pPr>
                <w:r>
                  <w:fldChar w:fldCharType="begin"/>
                </w:r>
                <w:r>
                  <w:instrText xml:space="preserve"> TOC \o "1-3" \h \z \u </w:instrText>
                </w:r>
                <w:r>
                  <w:fldChar w:fldCharType="separate"/>
                </w:r>
                <w:hyperlink w:anchor="_Toc64531463" w:history="1">
                  <w:r w:rsidR="007C58DB" w:rsidRPr="008D075E">
                    <w:rPr>
                      <w:rStyle w:val="Hyperlink"/>
                      <w:rFonts w:ascii="Candara" w:hAnsi="Candara"/>
                      <w:noProof/>
                      <w:lang w:val="es-MX"/>
                    </w:rPr>
                    <w:t>RESUMEN EJECUTIVO</w:t>
                  </w:r>
                  <w:r w:rsidR="007C58DB">
                    <w:rPr>
                      <w:noProof/>
                      <w:webHidden/>
                    </w:rPr>
                    <w:tab/>
                  </w:r>
                  <w:r w:rsidR="007C58DB">
                    <w:rPr>
                      <w:noProof/>
                      <w:webHidden/>
                    </w:rPr>
                    <w:fldChar w:fldCharType="begin"/>
                  </w:r>
                  <w:r w:rsidR="007C58DB">
                    <w:rPr>
                      <w:noProof/>
                      <w:webHidden/>
                    </w:rPr>
                    <w:instrText xml:space="preserve"> PAGEREF _Toc64531463 \h </w:instrText>
                  </w:r>
                  <w:r w:rsidR="007C58DB">
                    <w:rPr>
                      <w:noProof/>
                      <w:webHidden/>
                    </w:rPr>
                  </w:r>
                  <w:r w:rsidR="007C58DB">
                    <w:rPr>
                      <w:noProof/>
                      <w:webHidden/>
                    </w:rPr>
                    <w:fldChar w:fldCharType="separate"/>
                  </w:r>
                  <w:r w:rsidR="00B94C8A">
                    <w:rPr>
                      <w:noProof/>
                      <w:webHidden/>
                    </w:rPr>
                    <w:t>3</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64" w:history="1">
                  <w:r w:rsidR="007C58DB" w:rsidRPr="008D075E">
                    <w:rPr>
                      <w:rStyle w:val="Hyperlink"/>
                      <w:rFonts w:ascii="Candara" w:hAnsi="Candara"/>
                      <w:b/>
                      <w:noProof/>
                      <w:lang w:val="es-MX"/>
                    </w:rPr>
                    <w:t>1. Ingresos Totales del SPNF (ver anexo 3).</w:t>
                  </w:r>
                  <w:r w:rsidR="007C58DB">
                    <w:rPr>
                      <w:noProof/>
                      <w:webHidden/>
                    </w:rPr>
                    <w:tab/>
                  </w:r>
                  <w:r w:rsidR="007C58DB">
                    <w:rPr>
                      <w:noProof/>
                      <w:webHidden/>
                    </w:rPr>
                    <w:fldChar w:fldCharType="begin"/>
                  </w:r>
                  <w:r w:rsidR="007C58DB">
                    <w:rPr>
                      <w:noProof/>
                      <w:webHidden/>
                    </w:rPr>
                    <w:instrText xml:space="preserve"> PAGEREF _Toc64531464 \h </w:instrText>
                  </w:r>
                  <w:r w:rsidR="007C58DB">
                    <w:rPr>
                      <w:noProof/>
                      <w:webHidden/>
                    </w:rPr>
                  </w:r>
                  <w:r w:rsidR="007C58DB">
                    <w:rPr>
                      <w:noProof/>
                      <w:webHidden/>
                    </w:rPr>
                    <w:fldChar w:fldCharType="separate"/>
                  </w:r>
                  <w:r w:rsidR="00B94C8A">
                    <w:rPr>
                      <w:noProof/>
                      <w:webHidden/>
                    </w:rPr>
                    <w:t>7</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65" w:history="1">
                  <w:r w:rsidR="007C58DB" w:rsidRPr="008D075E">
                    <w:rPr>
                      <w:rStyle w:val="Hyperlink"/>
                      <w:rFonts w:ascii="Candara" w:hAnsi="Candara"/>
                      <w:b/>
                      <w:noProof/>
                      <w:lang w:val="es-MX"/>
                    </w:rPr>
                    <w:t>1.1 Ingresos tributarios y Contribuciones Especiales</w:t>
                  </w:r>
                  <w:r w:rsidR="007C58DB">
                    <w:rPr>
                      <w:noProof/>
                      <w:webHidden/>
                    </w:rPr>
                    <w:tab/>
                  </w:r>
                  <w:r w:rsidR="007C58DB">
                    <w:rPr>
                      <w:noProof/>
                      <w:webHidden/>
                    </w:rPr>
                    <w:fldChar w:fldCharType="begin"/>
                  </w:r>
                  <w:r w:rsidR="007C58DB">
                    <w:rPr>
                      <w:noProof/>
                      <w:webHidden/>
                    </w:rPr>
                    <w:instrText xml:space="preserve"> PAGEREF _Toc64531465 \h </w:instrText>
                  </w:r>
                  <w:r w:rsidR="007C58DB">
                    <w:rPr>
                      <w:noProof/>
                      <w:webHidden/>
                    </w:rPr>
                  </w:r>
                  <w:r w:rsidR="007C58DB">
                    <w:rPr>
                      <w:noProof/>
                      <w:webHidden/>
                    </w:rPr>
                    <w:fldChar w:fldCharType="separate"/>
                  </w:r>
                  <w:r w:rsidR="00B94C8A">
                    <w:rPr>
                      <w:noProof/>
                      <w:webHidden/>
                    </w:rPr>
                    <w:t>7</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66" w:history="1">
                  <w:r w:rsidR="007C58DB" w:rsidRPr="008D075E">
                    <w:rPr>
                      <w:rStyle w:val="Hyperlink"/>
                      <w:noProof/>
                      <w:lang w:val="es-MX"/>
                    </w:rPr>
                    <w:t>1.1.1 Recaudación según Cartera de Contribuyentes</w:t>
                  </w:r>
                  <w:r w:rsidR="007C58DB">
                    <w:rPr>
                      <w:noProof/>
                      <w:webHidden/>
                    </w:rPr>
                    <w:tab/>
                  </w:r>
                  <w:r w:rsidR="007C58DB">
                    <w:rPr>
                      <w:noProof/>
                      <w:webHidden/>
                    </w:rPr>
                    <w:fldChar w:fldCharType="begin"/>
                  </w:r>
                  <w:r w:rsidR="007C58DB">
                    <w:rPr>
                      <w:noProof/>
                      <w:webHidden/>
                    </w:rPr>
                    <w:instrText xml:space="preserve"> PAGEREF _Toc64531466 \h </w:instrText>
                  </w:r>
                  <w:r w:rsidR="007C58DB">
                    <w:rPr>
                      <w:noProof/>
                      <w:webHidden/>
                    </w:rPr>
                  </w:r>
                  <w:r w:rsidR="007C58DB">
                    <w:rPr>
                      <w:noProof/>
                      <w:webHidden/>
                    </w:rPr>
                    <w:fldChar w:fldCharType="separate"/>
                  </w:r>
                  <w:r w:rsidR="00B94C8A">
                    <w:rPr>
                      <w:noProof/>
                      <w:webHidden/>
                    </w:rPr>
                    <w:t>9</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67" w:history="1">
                  <w:r w:rsidR="007C58DB" w:rsidRPr="008D075E">
                    <w:rPr>
                      <w:rStyle w:val="Hyperlink"/>
                      <w:noProof/>
                      <w:lang w:val="es-MX"/>
                    </w:rPr>
                    <w:t>1.1.2 Recaudación según Departamentos</w:t>
                  </w:r>
                  <w:r w:rsidR="007C58DB">
                    <w:rPr>
                      <w:noProof/>
                      <w:webHidden/>
                    </w:rPr>
                    <w:tab/>
                  </w:r>
                  <w:r w:rsidR="007C58DB">
                    <w:rPr>
                      <w:noProof/>
                      <w:webHidden/>
                    </w:rPr>
                    <w:fldChar w:fldCharType="begin"/>
                  </w:r>
                  <w:r w:rsidR="007C58DB">
                    <w:rPr>
                      <w:noProof/>
                      <w:webHidden/>
                    </w:rPr>
                    <w:instrText xml:space="preserve"> PAGEREF _Toc64531467 \h </w:instrText>
                  </w:r>
                  <w:r w:rsidR="007C58DB">
                    <w:rPr>
                      <w:noProof/>
                      <w:webHidden/>
                    </w:rPr>
                  </w:r>
                  <w:r w:rsidR="007C58DB">
                    <w:rPr>
                      <w:noProof/>
                      <w:webHidden/>
                    </w:rPr>
                    <w:fldChar w:fldCharType="separate"/>
                  </w:r>
                  <w:r w:rsidR="00B94C8A">
                    <w:rPr>
                      <w:noProof/>
                      <w:webHidden/>
                    </w:rPr>
                    <w:t>9</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68" w:history="1">
                  <w:r w:rsidR="007C58DB" w:rsidRPr="008D075E">
                    <w:rPr>
                      <w:rStyle w:val="Hyperlink"/>
                      <w:noProof/>
                      <w:lang w:val="es-MX"/>
                    </w:rPr>
                    <w:t>1.1.3 Según sector Económico.</w:t>
                  </w:r>
                  <w:r w:rsidR="007C58DB">
                    <w:rPr>
                      <w:noProof/>
                      <w:webHidden/>
                    </w:rPr>
                    <w:tab/>
                  </w:r>
                  <w:r w:rsidR="007C58DB">
                    <w:rPr>
                      <w:noProof/>
                      <w:webHidden/>
                    </w:rPr>
                    <w:fldChar w:fldCharType="begin"/>
                  </w:r>
                  <w:r w:rsidR="007C58DB">
                    <w:rPr>
                      <w:noProof/>
                      <w:webHidden/>
                    </w:rPr>
                    <w:instrText xml:space="preserve"> PAGEREF _Toc64531468 \h </w:instrText>
                  </w:r>
                  <w:r w:rsidR="007C58DB">
                    <w:rPr>
                      <w:noProof/>
                      <w:webHidden/>
                    </w:rPr>
                  </w:r>
                  <w:r w:rsidR="007C58DB">
                    <w:rPr>
                      <w:noProof/>
                      <w:webHidden/>
                    </w:rPr>
                    <w:fldChar w:fldCharType="separate"/>
                  </w:r>
                  <w:r w:rsidR="00B94C8A">
                    <w:rPr>
                      <w:noProof/>
                      <w:webHidden/>
                    </w:rPr>
                    <w:t>10</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69" w:history="1">
                  <w:r w:rsidR="007C58DB" w:rsidRPr="008D075E">
                    <w:rPr>
                      <w:rStyle w:val="Hyperlink"/>
                      <w:noProof/>
                      <w:lang w:val="es-MX"/>
                    </w:rPr>
                    <w:t>1.1.4 Composición de Ingresos Tributarios 2020</w:t>
                  </w:r>
                  <w:r w:rsidR="007C58DB">
                    <w:rPr>
                      <w:noProof/>
                      <w:webHidden/>
                    </w:rPr>
                    <w:tab/>
                  </w:r>
                  <w:r w:rsidR="007C58DB">
                    <w:rPr>
                      <w:noProof/>
                      <w:webHidden/>
                    </w:rPr>
                    <w:fldChar w:fldCharType="begin"/>
                  </w:r>
                  <w:r w:rsidR="007C58DB">
                    <w:rPr>
                      <w:noProof/>
                      <w:webHidden/>
                    </w:rPr>
                    <w:instrText xml:space="preserve"> PAGEREF _Toc64531469 \h </w:instrText>
                  </w:r>
                  <w:r w:rsidR="007C58DB">
                    <w:rPr>
                      <w:noProof/>
                      <w:webHidden/>
                    </w:rPr>
                  </w:r>
                  <w:r w:rsidR="007C58DB">
                    <w:rPr>
                      <w:noProof/>
                      <w:webHidden/>
                    </w:rPr>
                    <w:fldChar w:fldCharType="separate"/>
                  </w:r>
                  <w:r w:rsidR="00B94C8A">
                    <w:rPr>
                      <w:noProof/>
                      <w:webHidden/>
                    </w:rPr>
                    <w:t>10</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70" w:history="1">
                  <w:r w:rsidR="007C58DB" w:rsidRPr="008D075E">
                    <w:rPr>
                      <w:rStyle w:val="Hyperlink"/>
                      <w:noProof/>
                      <w:lang w:val="es-MX"/>
                    </w:rPr>
                    <w:t>1.1.5 Recaudación Tributaria comparada con lo Presupuestado.</w:t>
                  </w:r>
                  <w:r w:rsidR="007C58DB">
                    <w:rPr>
                      <w:noProof/>
                      <w:webHidden/>
                    </w:rPr>
                    <w:tab/>
                  </w:r>
                  <w:r w:rsidR="007C58DB">
                    <w:rPr>
                      <w:noProof/>
                      <w:webHidden/>
                    </w:rPr>
                    <w:fldChar w:fldCharType="begin"/>
                  </w:r>
                  <w:r w:rsidR="007C58DB">
                    <w:rPr>
                      <w:noProof/>
                      <w:webHidden/>
                    </w:rPr>
                    <w:instrText xml:space="preserve"> PAGEREF _Toc64531470 \h </w:instrText>
                  </w:r>
                  <w:r w:rsidR="007C58DB">
                    <w:rPr>
                      <w:noProof/>
                      <w:webHidden/>
                    </w:rPr>
                  </w:r>
                  <w:r w:rsidR="007C58DB">
                    <w:rPr>
                      <w:noProof/>
                      <w:webHidden/>
                    </w:rPr>
                    <w:fldChar w:fldCharType="separate"/>
                  </w:r>
                  <w:r w:rsidR="00B94C8A">
                    <w:rPr>
                      <w:noProof/>
                      <w:webHidden/>
                    </w:rPr>
                    <w:t>11</w:t>
                  </w:r>
                  <w:r w:rsidR="007C58DB">
                    <w:rPr>
                      <w:noProof/>
                      <w:webHidden/>
                    </w:rPr>
                    <w:fldChar w:fldCharType="end"/>
                  </w:r>
                </w:hyperlink>
              </w:p>
              <w:p w:rsidR="007C58DB" w:rsidRDefault="00BA2C5D">
                <w:pPr>
                  <w:pStyle w:val="TOC2"/>
                  <w:rPr>
                    <w:rFonts w:asciiTheme="minorHAnsi" w:eastAsiaTheme="minorEastAsia" w:hAnsiTheme="minorHAnsi" w:cstheme="minorBidi"/>
                    <w:noProof/>
                    <w:sz w:val="22"/>
                    <w:szCs w:val="22"/>
                    <w:lang w:val="es-SV" w:eastAsia="es-SV"/>
                  </w:rPr>
                </w:pPr>
                <w:hyperlink w:anchor="_Toc64531472" w:history="1">
                  <w:r w:rsidR="007C58DB" w:rsidRPr="008D075E">
                    <w:rPr>
                      <w:rStyle w:val="Hyperlink"/>
                      <w:rFonts w:ascii="Candara" w:hAnsi="Candara"/>
                      <w:b/>
                      <w:noProof/>
                      <w:lang w:val="es-MX"/>
                    </w:rPr>
                    <w:t>1.2 Ingresos no Tributarios</w:t>
                  </w:r>
                  <w:r w:rsidR="007C58DB">
                    <w:rPr>
                      <w:noProof/>
                      <w:webHidden/>
                    </w:rPr>
                    <w:tab/>
                  </w:r>
                  <w:r w:rsidR="007C58DB">
                    <w:rPr>
                      <w:noProof/>
                      <w:webHidden/>
                    </w:rPr>
                    <w:fldChar w:fldCharType="begin"/>
                  </w:r>
                  <w:r w:rsidR="007C58DB">
                    <w:rPr>
                      <w:noProof/>
                      <w:webHidden/>
                    </w:rPr>
                    <w:instrText xml:space="preserve"> PAGEREF _Toc64531472 \h </w:instrText>
                  </w:r>
                  <w:r w:rsidR="007C58DB">
                    <w:rPr>
                      <w:noProof/>
                      <w:webHidden/>
                    </w:rPr>
                  </w:r>
                  <w:r w:rsidR="007C58DB">
                    <w:rPr>
                      <w:noProof/>
                      <w:webHidden/>
                    </w:rPr>
                    <w:fldChar w:fldCharType="separate"/>
                  </w:r>
                  <w:r w:rsidR="00B94C8A">
                    <w:rPr>
                      <w:noProof/>
                      <w:webHidden/>
                    </w:rPr>
                    <w:t>12</w:t>
                  </w:r>
                  <w:r w:rsidR="007C58DB">
                    <w:rPr>
                      <w:noProof/>
                      <w:webHidden/>
                    </w:rPr>
                    <w:fldChar w:fldCharType="end"/>
                  </w:r>
                </w:hyperlink>
              </w:p>
              <w:p w:rsidR="007C58DB" w:rsidRDefault="00BA2C5D">
                <w:pPr>
                  <w:pStyle w:val="TOC2"/>
                  <w:rPr>
                    <w:rFonts w:asciiTheme="minorHAnsi" w:eastAsiaTheme="minorEastAsia" w:hAnsiTheme="minorHAnsi" w:cstheme="minorBidi"/>
                    <w:noProof/>
                    <w:sz w:val="22"/>
                    <w:szCs w:val="22"/>
                    <w:lang w:val="es-SV" w:eastAsia="es-SV"/>
                  </w:rPr>
                </w:pPr>
                <w:hyperlink w:anchor="_Toc64531473" w:history="1">
                  <w:r w:rsidR="007C58DB" w:rsidRPr="008D075E">
                    <w:rPr>
                      <w:rStyle w:val="Hyperlink"/>
                      <w:rFonts w:ascii="Candara" w:hAnsi="Candara"/>
                      <w:b/>
                      <w:noProof/>
                      <w:lang w:val="es-MX"/>
                    </w:rPr>
                    <w:t>1.3 Las Empresas Públicas No Financieras</w:t>
                  </w:r>
                  <w:r w:rsidR="007C58DB">
                    <w:rPr>
                      <w:noProof/>
                      <w:webHidden/>
                    </w:rPr>
                    <w:tab/>
                  </w:r>
                  <w:r w:rsidR="007C58DB">
                    <w:rPr>
                      <w:noProof/>
                      <w:webHidden/>
                    </w:rPr>
                    <w:fldChar w:fldCharType="begin"/>
                  </w:r>
                  <w:r w:rsidR="007C58DB">
                    <w:rPr>
                      <w:noProof/>
                      <w:webHidden/>
                    </w:rPr>
                    <w:instrText xml:space="preserve"> PAGEREF _Toc64531473 \h </w:instrText>
                  </w:r>
                  <w:r w:rsidR="007C58DB">
                    <w:rPr>
                      <w:noProof/>
                      <w:webHidden/>
                    </w:rPr>
                  </w:r>
                  <w:r w:rsidR="007C58DB">
                    <w:rPr>
                      <w:noProof/>
                      <w:webHidden/>
                    </w:rPr>
                    <w:fldChar w:fldCharType="separate"/>
                  </w:r>
                  <w:r w:rsidR="00B94C8A">
                    <w:rPr>
                      <w:noProof/>
                      <w:webHidden/>
                    </w:rPr>
                    <w:t>13</w:t>
                  </w:r>
                  <w:r w:rsidR="007C58DB">
                    <w:rPr>
                      <w:noProof/>
                      <w:webHidden/>
                    </w:rPr>
                    <w:fldChar w:fldCharType="end"/>
                  </w:r>
                </w:hyperlink>
              </w:p>
              <w:p w:rsidR="007C58DB" w:rsidRDefault="00BA2C5D">
                <w:pPr>
                  <w:pStyle w:val="TOC2"/>
                  <w:rPr>
                    <w:rFonts w:asciiTheme="minorHAnsi" w:eastAsiaTheme="minorEastAsia" w:hAnsiTheme="minorHAnsi" w:cstheme="minorBidi"/>
                    <w:noProof/>
                    <w:sz w:val="22"/>
                    <w:szCs w:val="22"/>
                    <w:lang w:val="es-SV" w:eastAsia="es-SV"/>
                  </w:rPr>
                </w:pPr>
                <w:hyperlink w:anchor="_Toc64531474" w:history="1">
                  <w:r w:rsidR="007C58DB" w:rsidRPr="008D075E">
                    <w:rPr>
                      <w:rStyle w:val="Hyperlink"/>
                      <w:rFonts w:ascii="Candara" w:hAnsi="Candara"/>
                      <w:b/>
                      <w:noProof/>
                      <w:lang w:val="es-MX"/>
                    </w:rPr>
                    <w:t>1.4 Donaciones</w:t>
                  </w:r>
                  <w:r w:rsidR="007C58DB">
                    <w:rPr>
                      <w:noProof/>
                      <w:webHidden/>
                    </w:rPr>
                    <w:tab/>
                  </w:r>
                  <w:r w:rsidR="007C58DB">
                    <w:rPr>
                      <w:noProof/>
                      <w:webHidden/>
                    </w:rPr>
                    <w:fldChar w:fldCharType="begin"/>
                  </w:r>
                  <w:r w:rsidR="007C58DB">
                    <w:rPr>
                      <w:noProof/>
                      <w:webHidden/>
                    </w:rPr>
                    <w:instrText xml:space="preserve"> PAGEREF _Toc64531474 \h </w:instrText>
                  </w:r>
                  <w:r w:rsidR="007C58DB">
                    <w:rPr>
                      <w:noProof/>
                      <w:webHidden/>
                    </w:rPr>
                  </w:r>
                  <w:r w:rsidR="007C58DB">
                    <w:rPr>
                      <w:noProof/>
                      <w:webHidden/>
                    </w:rPr>
                    <w:fldChar w:fldCharType="separate"/>
                  </w:r>
                  <w:r w:rsidR="00B94C8A">
                    <w:rPr>
                      <w:noProof/>
                      <w:webHidden/>
                    </w:rPr>
                    <w:t>13</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75" w:history="1">
                  <w:r w:rsidR="007C58DB" w:rsidRPr="008D075E">
                    <w:rPr>
                      <w:rStyle w:val="Hyperlink"/>
                      <w:rFonts w:ascii="Candara" w:hAnsi="Candara"/>
                      <w:b/>
                      <w:noProof/>
                      <w:lang w:val="es-MX"/>
                    </w:rPr>
                    <w:t>2. Gastos del Sector Público No Financiero</w:t>
                  </w:r>
                  <w:r w:rsidR="007C58DB" w:rsidRPr="008D075E">
                    <w:rPr>
                      <w:rStyle w:val="Hyperlink"/>
                      <w:rFonts w:ascii="Candara" w:hAnsi="Candara"/>
                      <w:noProof/>
                      <w:lang w:val="es-MX"/>
                    </w:rPr>
                    <w:t xml:space="preserve"> (ver anexo 1 y 2)</w:t>
                  </w:r>
                  <w:r w:rsidR="007C58DB">
                    <w:rPr>
                      <w:noProof/>
                      <w:webHidden/>
                    </w:rPr>
                    <w:tab/>
                  </w:r>
                  <w:r w:rsidR="007C58DB">
                    <w:rPr>
                      <w:noProof/>
                      <w:webHidden/>
                    </w:rPr>
                    <w:fldChar w:fldCharType="begin"/>
                  </w:r>
                  <w:r w:rsidR="007C58DB">
                    <w:rPr>
                      <w:noProof/>
                      <w:webHidden/>
                    </w:rPr>
                    <w:instrText xml:space="preserve"> PAGEREF _Toc64531475 \h </w:instrText>
                  </w:r>
                  <w:r w:rsidR="007C58DB">
                    <w:rPr>
                      <w:noProof/>
                      <w:webHidden/>
                    </w:rPr>
                  </w:r>
                  <w:r w:rsidR="007C58DB">
                    <w:rPr>
                      <w:noProof/>
                      <w:webHidden/>
                    </w:rPr>
                    <w:fldChar w:fldCharType="separate"/>
                  </w:r>
                  <w:r w:rsidR="00B94C8A">
                    <w:rPr>
                      <w:noProof/>
                      <w:webHidden/>
                    </w:rPr>
                    <w:t>13</w:t>
                  </w:r>
                  <w:r w:rsidR="007C58DB">
                    <w:rPr>
                      <w:noProof/>
                      <w:webHidden/>
                    </w:rPr>
                    <w:fldChar w:fldCharType="end"/>
                  </w:r>
                </w:hyperlink>
              </w:p>
              <w:p w:rsidR="007C58DB" w:rsidRDefault="00BA2C5D">
                <w:pPr>
                  <w:pStyle w:val="TOC2"/>
                  <w:rPr>
                    <w:rFonts w:asciiTheme="minorHAnsi" w:eastAsiaTheme="minorEastAsia" w:hAnsiTheme="minorHAnsi" w:cstheme="minorBidi"/>
                    <w:noProof/>
                    <w:sz w:val="22"/>
                    <w:szCs w:val="22"/>
                    <w:lang w:val="es-SV" w:eastAsia="es-SV"/>
                  </w:rPr>
                </w:pPr>
                <w:hyperlink w:anchor="_Toc64531476" w:history="1">
                  <w:r w:rsidR="007C58DB" w:rsidRPr="008D075E">
                    <w:rPr>
                      <w:rStyle w:val="Hyperlink"/>
                      <w:rFonts w:ascii="Candara" w:hAnsi="Candara"/>
                      <w:b/>
                      <w:noProof/>
                      <w:lang w:val="es-MX"/>
                    </w:rPr>
                    <w:t>2.1 Gastos corrientes</w:t>
                  </w:r>
                  <w:r w:rsidR="007C58DB">
                    <w:rPr>
                      <w:noProof/>
                      <w:webHidden/>
                    </w:rPr>
                    <w:tab/>
                  </w:r>
                  <w:r w:rsidR="007C58DB">
                    <w:rPr>
                      <w:noProof/>
                      <w:webHidden/>
                    </w:rPr>
                    <w:fldChar w:fldCharType="begin"/>
                  </w:r>
                  <w:r w:rsidR="007C58DB">
                    <w:rPr>
                      <w:noProof/>
                      <w:webHidden/>
                    </w:rPr>
                    <w:instrText xml:space="preserve"> PAGEREF _Toc64531476 \h </w:instrText>
                  </w:r>
                  <w:r w:rsidR="007C58DB">
                    <w:rPr>
                      <w:noProof/>
                      <w:webHidden/>
                    </w:rPr>
                  </w:r>
                  <w:r w:rsidR="007C58DB">
                    <w:rPr>
                      <w:noProof/>
                      <w:webHidden/>
                    </w:rPr>
                    <w:fldChar w:fldCharType="separate"/>
                  </w:r>
                  <w:r w:rsidR="00B94C8A">
                    <w:rPr>
                      <w:noProof/>
                      <w:webHidden/>
                    </w:rPr>
                    <w:t>14</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77" w:history="1">
                  <w:r w:rsidR="007C58DB" w:rsidRPr="008D075E">
                    <w:rPr>
                      <w:rStyle w:val="Hyperlink"/>
                      <w:rFonts w:ascii="Candara" w:hAnsi="Candara"/>
                      <w:b/>
                      <w:noProof/>
                      <w:lang w:val="es-MX"/>
                    </w:rPr>
                    <w:t>2.2 Gasto de capital</w:t>
                  </w:r>
                  <w:r w:rsidR="007C58DB">
                    <w:rPr>
                      <w:noProof/>
                      <w:webHidden/>
                    </w:rPr>
                    <w:tab/>
                  </w:r>
                  <w:r w:rsidR="007C58DB">
                    <w:rPr>
                      <w:noProof/>
                      <w:webHidden/>
                    </w:rPr>
                    <w:fldChar w:fldCharType="begin"/>
                  </w:r>
                  <w:r w:rsidR="007C58DB">
                    <w:rPr>
                      <w:noProof/>
                      <w:webHidden/>
                    </w:rPr>
                    <w:instrText xml:space="preserve"> PAGEREF _Toc64531477 \h </w:instrText>
                  </w:r>
                  <w:r w:rsidR="007C58DB">
                    <w:rPr>
                      <w:noProof/>
                      <w:webHidden/>
                    </w:rPr>
                  </w:r>
                  <w:r w:rsidR="007C58DB">
                    <w:rPr>
                      <w:noProof/>
                      <w:webHidden/>
                    </w:rPr>
                    <w:fldChar w:fldCharType="separate"/>
                  </w:r>
                  <w:r w:rsidR="00B94C8A">
                    <w:rPr>
                      <w:noProof/>
                      <w:webHidden/>
                    </w:rPr>
                    <w:t>16</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78" w:history="1">
                  <w:r w:rsidR="007C58DB" w:rsidRPr="008D075E">
                    <w:rPr>
                      <w:rStyle w:val="Hyperlink"/>
                      <w:rFonts w:ascii="Candara" w:hAnsi="Candara"/>
                      <w:b/>
                      <w:noProof/>
                      <w:lang w:val="es-MX"/>
                    </w:rPr>
                    <w:t>3. Deuda del SPNF (ver anexo 5)</w:t>
                  </w:r>
                  <w:r w:rsidR="007C58DB">
                    <w:rPr>
                      <w:noProof/>
                      <w:webHidden/>
                    </w:rPr>
                    <w:tab/>
                  </w:r>
                  <w:r w:rsidR="007C58DB">
                    <w:rPr>
                      <w:noProof/>
                      <w:webHidden/>
                    </w:rPr>
                    <w:fldChar w:fldCharType="begin"/>
                  </w:r>
                  <w:r w:rsidR="007C58DB">
                    <w:rPr>
                      <w:noProof/>
                      <w:webHidden/>
                    </w:rPr>
                    <w:instrText xml:space="preserve"> PAGEREF _Toc64531478 \h </w:instrText>
                  </w:r>
                  <w:r w:rsidR="007C58DB">
                    <w:rPr>
                      <w:noProof/>
                      <w:webHidden/>
                    </w:rPr>
                  </w:r>
                  <w:r w:rsidR="007C58DB">
                    <w:rPr>
                      <w:noProof/>
                      <w:webHidden/>
                    </w:rPr>
                    <w:fldChar w:fldCharType="separate"/>
                  </w:r>
                  <w:r w:rsidR="00B94C8A">
                    <w:rPr>
                      <w:noProof/>
                      <w:webHidden/>
                    </w:rPr>
                    <w:t>19</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79" w:history="1">
                  <w:r w:rsidR="007C58DB" w:rsidRPr="008D075E">
                    <w:rPr>
                      <w:rStyle w:val="Hyperlink"/>
                      <w:rFonts w:ascii="Candara" w:hAnsi="Candara"/>
                      <w:b/>
                      <w:noProof/>
                      <w:lang w:val="es-MX"/>
                    </w:rPr>
                    <w:t>3.1 Deuda Interna</w:t>
                  </w:r>
                  <w:r w:rsidR="007C58DB">
                    <w:rPr>
                      <w:noProof/>
                      <w:webHidden/>
                    </w:rPr>
                    <w:tab/>
                  </w:r>
                  <w:r w:rsidR="007C58DB">
                    <w:rPr>
                      <w:noProof/>
                      <w:webHidden/>
                    </w:rPr>
                    <w:fldChar w:fldCharType="begin"/>
                  </w:r>
                  <w:r w:rsidR="007C58DB">
                    <w:rPr>
                      <w:noProof/>
                      <w:webHidden/>
                    </w:rPr>
                    <w:instrText xml:space="preserve"> PAGEREF _Toc64531479 \h </w:instrText>
                  </w:r>
                  <w:r w:rsidR="007C58DB">
                    <w:rPr>
                      <w:noProof/>
                      <w:webHidden/>
                    </w:rPr>
                  </w:r>
                  <w:r w:rsidR="007C58DB">
                    <w:rPr>
                      <w:noProof/>
                      <w:webHidden/>
                    </w:rPr>
                    <w:fldChar w:fldCharType="separate"/>
                  </w:r>
                  <w:r w:rsidR="00B94C8A">
                    <w:rPr>
                      <w:noProof/>
                      <w:webHidden/>
                    </w:rPr>
                    <w:t>19</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80" w:history="1">
                  <w:r w:rsidR="007C58DB" w:rsidRPr="008D075E">
                    <w:rPr>
                      <w:rStyle w:val="Hyperlink"/>
                      <w:rFonts w:ascii="Candara" w:hAnsi="Candara"/>
                      <w:b/>
                      <w:noProof/>
                      <w:lang w:val="es-MX"/>
                    </w:rPr>
                    <w:t>3.2 Deuda Externa.</w:t>
                  </w:r>
                  <w:r w:rsidR="007C58DB">
                    <w:rPr>
                      <w:noProof/>
                      <w:webHidden/>
                    </w:rPr>
                    <w:tab/>
                  </w:r>
                  <w:r w:rsidR="007C58DB">
                    <w:rPr>
                      <w:noProof/>
                      <w:webHidden/>
                    </w:rPr>
                    <w:fldChar w:fldCharType="begin"/>
                  </w:r>
                  <w:r w:rsidR="007C58DB">
                    <w:rPr>
                      <w:noProof/>
                      <w:webHidden/>
                    </w:rPr>
                    <w:instrText xml:space="preserve"> PAGEREF _Toc64531480 \h </w:instrText>
                  </w:r>
                  <w:r w:rsidR="007C58DB">
                    <w:rPr>
                      <w:noProof/>
                      <w:webHidden/>
                    </w:rPr>
                  </w:r>
                  <w:r w:rsidR="007C58DB">
                    <w:rPr>
                      <w:noProof/>
                      <w:webHidden/>
                    </w:rPr>
                    <w:fldChar w:fldCharType="separate"/>
                  </w:r>
                  <w:r w:rsidR="00B94C8A">
                    <w:rPr>
                      <w:noProof/>
                      <w:webHidden/>
                    </w:rPr>
                    <w:t>20</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81" w:history="1">
                  <w:r w:rsidR="007C58DB" w:rsidRPr="008D075E">
                    <w:rPr>
                      <w:rStyle w:val="Hyperlink"/>
                      <w:rFonts w:ascii="Candara" w:hAnsi="Candara"/>
                      <w:b/>
                      <w:noProof/>
                      <w:lang w:val="es-MX"/>
                    </w:rPr>
                    <w:t>3.3 Flujos de deuda (desembolsos de préstamos externos y Eurobonos)</w:t>
                  </w:r>
                  <w:r w:rsidR="007C58DB">
                    <w:rPr>
                      <w:noProof/>
                      <w:webHidden/>
                    </w:rPr>
                    <w:tab/>
                  </w:r>
                  <w:r w:rsidR="007C58DB">
                    <w:rPr>
                      <w:noProof/>
                      <w:webHidden/>
                    </w:rPr>
                    <w:fldChar w:fldCharType="begin"/>
                  </w:r>
                  <w:r w:rsidR="007C58DB">
                    <w:rPr>
                      <w:noProof/>
                      <w:webHidden/>
                    </w:rPr>
                    <w:instrText xml:space="preserve"> PAGEREF _Toc64531481 \h </w:instrText>
                  </w:r>
                  <w:r w:rsidR="007C58DB">
                    <w:rPr>
                      <w:noProof/>
                      <w:webHidden/>
                    </w:rPr>
                  </w:r>
                  <w:r w:rsidR="007C58DB">
                    <w:rPr>
                      <w:noProof/>
                      <w:webHidden/>
                    </w:rPr>
                    <w:fldChar w:fldCharType="separate"/>
                  </w:r>
                  <w:r w:rsidR="00B94C8A">
                    <w:rPr>
                      <w:noProof/>
                      <w:webHidden/>
                    </w:rPr>
                    <w:t>20</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82" w:history="1">
                  <w:r w:rsidR="007C58DB" w:rsidRPr="008D075E">
                    <w:rPr>
                      <w:rStyle w:val="Hyperlink"/>
                      <w:rFonts w:ascii="Candara" w:hAnsi="Candara"/>
                      <w:b/>
                      <w:noProof/>
                      <w:lang w:val="es-MX"/>
                    </w:rPr>
                    <w:t>3.4 Servicio de la deuda del SPNF</w:t>
                  </w:r>
                  <w:r w:rsidR="007C58DB">
                    <w:rPr>
                      <w:noProof/>
                      <w:webHidden/>
                    </w:rPr>
                    <w:tab/>
                  </w:r>
                  <w:r w:rsidR="007C58DB">
                    <w:rPr>
                      <w:noProof/>
                      <w:webHidden/>
                    </w:rPr>
                    <w:fldChar w:fldCharType="begin"/>
                  </w:r>
                  <w:r w:rsidR="007C58DB">
                    <w:rPr>
                      <w:noProof/>
                      <w:webHidden/>
                    </w:rPr>
                    <w:instrText xml:space="preserve"> PAGEREF _Toc64531482 \h </w:instrText>
                  </w:r>
                  <w:r w:rsidR="007C58DB">
                    <w:rPr>
                      <w:noProof/>
                      <w:webHidden/>
                    </w:rPr>
                  </w:r>
                  <w:r w:rsidR="007C58DB">
                    <w:rPr>
                      <w:noProof/>
                      <w:webHidden/>
                    </w:rPr>
                    <w:fldChar w:fldCharType="separate"/>
                  </w:r>
                  <w:r w:rsidR="00B94C8A">
                    <w:rPr>
                      <w:noProof/>
                      <w:webHidden/>
                    </w:rPr>
                    <w:t>20</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83" w:history="1">
                  <w:r w:rsidR="007C58DB" w:rsidRPr="008D075E">
                    <w:rPr>
                      <w:rStyle w:val="Hyperlink"/>
                      <w:rFonts w:ascii="Candara" w:hAnsi="Candara"/>
                      <w:b/>
                      <w:noProof/>
                      <w:lang w:val="es-MX"/>
                    </w:rPr>
                    <w:t>3.5 Deuda de Corto Plazo (LETES).</w:t>
                  </w:r>
                  <w:r w:rsidR="007C58DB">
                    <w:rPr>
                      <w:noProof/>
                      <w:webHidden/>
                    </w:rPr>
                    <w:tab/>
                  </w:r>
                  <w:r w:rsidR="007C58DB">
                    <w:rPr>
                      <w:noProof/>
                      <w:webHidden/>
                    </w:rPr>
                    <w:fldChar w:fldCharType="begin"/>
                  </w:r>
                  <w:r w:rsidR="007C58DB">
                    <w:rPr>
                      <w:noProof/>
                      <w:webHidden/>
                    </w:rPr>
                    <w:instrText xml:space="preserve"> PAGEREF _Toc64531483 \h </w:instrText>
                  </w:r>
                  <w:r w:rsidR="007C58DB">
                    <w:rPr>
                      <w:noProof/>
                      <w:webHidden/>
                    </w:rPr>
                  </w:r>
                  <w:r w:rsidR="007C58DB">
                    <w:rPr>
                      <w:noProof/>
                      <w:webHidden/>
                    </w:rPr>
                    <w:fldChar w:fldCharType="separate"/>
                  </w:r>
                  <w:r w:rsidR="00B94C8A">
                    <w:rPr>
                      <w:noProof/>
                      <w:webHidden/>
                    </w:rPr>
                    <w:t>20</w:t>
                  </w:r>
                  <w:r w:rsidR="007C58DB">
                    <w:rPr>
                      <w:noProof/>
                      <w:webHidden/>
                    </w:rPr>
                    <w:fldChar w:fldCharType="end"/>
                  </w:r>
                </w:hyperlink>
              </w:p>
              <w:p w:rsidR="007C58DB" w:rsidRDefault="00BA2C5D">
                <w:pPr>
                  <w:pStyle w:val="TOC2"/>
                  <w:rPr>
                    <w:rFonts w:asciiTheme="minorHAnsi" w:eastAsiaTheme="minorEastAsia" w:hAnsiTheme="minorHAnsi" w:cstheme="minorBidi"/>
                    <w:noProof/>
                    <w:sz w:val="22"/>
                    <w:szCs w:val="22"/>
                    <w:lang w:val="es-SV" w:eastAsia="es-SV"/>
                  </w:rPr>
                </w:pPr>
                <w:hyperlink w:anchor="_Toc64531484" w:history="1">
                  <w:r w:rsidR="007C58DB" w:rsidRPr="008D075E">
                    <w:rPr>
                      <w:rStyle w:val="Hyperlink"/>
                      <w:rFonts w:ascii="Candara" w:hAnsi="Candara"/>
                      <w:b/>
                      <w:noProof/>
                      <w:lang w:val="es-MX"/>
                    </w:rPr>
                    <w:t>4. Resultados Globales del SPNF (ver anexo 1 y 2)</w:t>
                  </w:r>
                  <w:r w:rsidR="007C58DB">
                    <w:rPr>
                      <w:noProof/>
                      <w:webHidden/>
                    </w:rPr>
                    <w:tab/>
                  </w:r>
                  <w:r w:rsidR="007C58DB">
                    <w:rPr>
                      <w:noProof/>
                      <w:webHidden/>
                    </w:rPr>
                    <w:fldChar w:fldCharType="begin"/>
                  </w:r>
                  <w:r w:rsidR="007C58DB">
                    <w:rPr>
                      <w:noProof/>
                      <w:webHidden/>
                    </w:rPr>
                    <w:instrText xml:space="preserve"> PAGEREF _Toc64531484 \h </w:instrText>
                  </w:r>
                  <w:r w:rsidR="007C58DB">
                    <w:rPr>
                      <w:noProof/>
                      <w:webHidden/>
                    </w:rPr>
                  </w:r>
                  <w:r w:rsidR="007C58DB">
                    <w:rPr>
                      <w:noProof/>
                      <w:webHidden/>
                    </w:rPr>
                    <w:fldChar w:fldCharType="separate"/>
                  </w:r>
                  <w:r w:rsidR="00B94C8A">
                    <w:rPr>
                      <w:noProof/>
                      <w:webHidden/>
                    </w:rPr>
                    <w:t>21</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85" w:history="1">
                  <w:r w:rsidR="007C58DB" w:rsidRPr="008D075E">
                    <w:rPr>
                      <w:rStyle w:val="Hyperlink"/>
                      <w:rFonts w:ascii="Candara" w:hAnsi="Candara"/>
                      <w:b/>
                      <w:noProof/>
                      <w:lang w:val="es-MX"/>
                    </w:rPr>
                    <w:t>4.1 Ahorro corriente</w:t>
                  </w:r>
                  <w:r w:rsidR="007C58DB">
                    <w:rPr>
                      <w:noProof/>
                      <w:webHidden/>
                    </w:rPr>
                    <w:tab/>
                  </w:r>
                  <w:r w:rsidR="007C58DB">
                    <w:rPr>
                      <w:noProof/>
                      <w:webHidden/>
                    </w:rPr>
                    <w:fldChar w:fldCharType="begin"/>
                  </w:r>
                  <w:r w:rsidR="007C58DB">
                    <w:rPr>
                      <w:noProof/>
                      <w:webHidden/>
                    </w:rPr>
                    <w:instrText xml:space="preserve"> PAGEREF _Toc64531485 \h </w:instrText>
                  </w:r>
                  <w:r w:rsidR="007C58DB">
                    <w:rPr>
                      <w:noProof/>
                      <w:webHidden/>
                    </w:rPr>
                  </w:r>
                  <w:r w:rsidR="007C58DB">
                    <w:rPr>
                      <w:noProof/>
                      <w:webHidden/>
                    </w:rPr>
                    <w:fldChar w:fldCharType="separate"/>
                  </w:r>
                  <w:r w:rsidR="00B94C8A">
                    <w:rPr>
                      <w:noProof/>
                      <w:webHidden/>
                    </w:rPr>
                    <w:t>21</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86" w:history="1">
                  <w:r w:rsidR="007C58DB" w:rsidRPr="008D075E">
                    <w:rPr>
                      <w:rStyle w:val="Hyperlink"/>
                      <w:rFonts w:ascii="Candara" w:hAnsi="Candara"/>
                      <w:b/>
                      <w:noProof/>
                      <w:lang w:val="es-MX"/>
                    </w:rPr>
                    <w:t>4.2 Balance Primario</w:t>
                  </w:r>
                  <w:r w:rsidR="007C58DB">
                    <w:rPr>
                      <w:noProof/>
                      <w:webHidden/>
                    </w:rPr>
                    <w:tab/>
                  </w:r>
                  <w:r w:rsidR="007C58DB">
                    <w:rPr>
                      <w:noProof/>
                      <w:webHidden/>
                    </w:rPr>
                    <w:fldChar w:fldCharType="begin"/>
                  </w:r>
                  <w:r w:rsidR="007C58DB">
                    <w:rPr>
                      <w:noProof/>
                      <w:webHidden/>
                    </w:rPr>
                    <w:instrText xml:space="preserve"> PAGEREF _Toc64531486 \h </w:instrText>
                  </w:r>
                  <w:r w:rsidR="007C58DB">
                    <w:rPr>
                      <w:noProof/>
                      <w:webHidden/>
                    </w:rPr>
                  </w:r>
                  <w:r w:rsidR="007C58DB">
                    <w:rPr>
                      <w:noProof/>
                      <w:webHidden/>
                    </w:rPr>
                    <w:fldChar w:fldCharType="separate"/>
                  </w:r>
                  <w:r w:rsidR="00B94C8A">
                    <w:rPr>
                      <w:noProof/>
                      <w:webHidden/>
                    </w:rPr>
                    <w:t>22</w:t>
                  </w:r>
                  <w:r w:rsidR="007C58DB">
                    <w:rPr>
                      <w:noProof/>
                      <w:webHidden/>
                    </w:rPr>
                    <w:fldChar w:fldCharType="end"/>
                  </w:r>
                </w:hyperlink>
              </w:p>
              <w:p w:rsidR="007C58DB" w:rsidRDefault="00BA2C5D">
                <w:pPr>
                  <w:pStyle w:val="TOC3"/>
                  <w:tabs>
                    <w:tab w:val="right" w:leader="dot" w:pos="9394"/>
                  </w:tabs>
                  <w:rPr>
                    <w:rFonts w:asciiTheme="minorHAnsi" w:eastAsiaTheme="minorEastAsia" w:hAnsiTheme="minorHAnsi" w:cstheme="minorBidi"/>
                    <w:noProof/>
                    <w:sz w:val="22"/>
                    <w:szCs w:val="22"/>
                    <w:lang w:val="es-SV" w:eastAsia="es-SV"/>
                  </w:rPr>
                </w:pPr>
                <w:hyperlink w:anchor="_Toc64531487" w:history="1">
                  <w:r w:rsidR="007C58DB" w:rsidRPr="008D075E">
                    <w:rPr>
                      <w:rStyle w:val="Hyperlink"/>
                      <w:rFonts w:ascii="Candara" w:hAnsi="Candara"/>
                      <w:b/>
                      <w:noProof/>
                      <w:lang w:val="es-MX"/>
                    </w:rPr>
                    <w:t>4.3 Balance global</w:t>
                  </w:r>
                  <w:r w:rsidR="007C58DB">
                    <w:rPr>
                      <w:noProof/>
                      <w:webHidden/>
                    </w:rPr>
                    <w:tab/>
                  </w:r>
                  <w:r w:rsidR="007C58DB">
                    <w:rPr>
                      <w:noProof/>
                      <w:webHidden/>
                    </w:rPr>
                    <w:fldChar w:fldCharType="begin"/>
                  </w:r>
                  <w:r w:rsidR="007C58DB">
                    <w:rPr>
                      <w:noProof/>
                      <w:webHidden/>
                    </w:rPr>
                    <w:instrText xml:space="preserve"> PAGEREF _Toc64531487 \h </w:instrText>
                  </w:r>
                  <w:r w:rsidR="007C58DB">
                    <w:rPr>
                      <w:noProof/>
                      <w:webHidden/>
                    </w:rPr>
                  </w:r>
                  <w:r w:rsidR="007C58DB">
                    <w:rPr>
                      <w:noProof/>
                      <w:webHidden/>
                    </w:rPr>
                    <w:fldChar w:fldCharType="separate"/>
                  </w:r>
                  <w:r w:rsidR="00B94C8A">
                    <w:rPr>
                      <w:noProof/>
                      <w:webHidden/>
                    </w:rPr>
                    <w:t>22</w:t>
                  </w:r>
                  <w:r w:rsidR="007C58DB">
                    <w:rPr>
                      <w:noProof/>
                      <w:webHidden/>
                    </w:rPr>
                    <w:fldChar w:fldCharType="end"/>
                  </w:r>
                </w:hyperlink>
              </w:p>
              <w:p w:rsidR="007C58DB" w:rsidRDefault="00BA2C5D">
                <w:pPr>
                  <w:pStyle w:val="TOC2"/>
                  <w:rPr>
                    <w:rFonts w:asciiTheme="minorHAnsi" w:eastAsiaTheme="minorEastAsia" w:hAnsiTheme="minorHAnsi" w:cstheme="minorBidi"/>
                    <w:noProof/>
                    <w:sz w:val="22"/>
                    <w:szCs w:val="22"/>
                    <w:lang w:val="es-SV" w:eastAsia="es-SV"/>
                  </w:rPr>
                </w:pPr>
                <w:hyperlink w:anchor="_Toc64531488" w:history="1">
                  <w:r w:rsidR="007C58DB" w:rsidRPr="008D075E">
                    <w:rPr>
                      <w:rStyle w:val="Hyperlink"/>
                      <w:rFonts w:ascii="Candara" w:hAnsi="Candara"/>
                      <w:noProof/>
                      <w:lang w:val="es-MX"/>
                    </w:rPr>
                    <w:t>5. ANEXOS</w:t>
                  </w:r>
                  <w:r w:rsidR="007C58DB">
                    <w:rPr>
                      <w:noProof/>
                      <w:webHidden/>
                    </w:rPr>
                    <w:tab/>
                  </w:r>
                  <w:r w:rsidR="007C58DB">
                    <w:rPr>
                      <w:noProof/>
                      <w:webHidden/>
                    </w:rPr>
                    <w:fldChar w:fldCharType="begin"/>
                  </w:r>
                  <w:r w:rsidR="007C58DB">
                    <w:rPr>
                      <w:noProof/>
                      <w:webHidden/>
                    </w:rPr>
                    <w:instrText xml:space="preserve"> PAGEREF _Toc64531488 \h </w:instrText>
                  </w:r>
                  <w:r w:rsidR="007C58DB">
                    <w:rPr>
                      <w:noProof/>
                      <w:webHidden/>
                    </w:rPr>
                  </w:r>
                  <w:r w:rsidR="007C58DB">
                    <w:rPr>
                      <w:noProof/>
                      <w:webHidden/>
                    </w:rPr>
                    <w:fldChar w:fldCharType="separate"/>
                  </w:r>
                  <w:r w:rsidR="00B94C8A">
                    <w:rPr>
                      <w:noProof/>
                      <w:webHidden/>
                    </w:rPr>
                    <w:t>24</w:t>
                  </w:r>
                  <w:r w:rsidR="007C58DB">
                    <w:rPr>
                      <w:noProof/>
                      <w:webHidden/>
                    </w:rPr>
                    <w:fldChar w:fldCharType="end"/>
                  </w:r>
                </w:hyperlink>
              </w:p>
              <w:p w:rsidR="006B1211" w:rsidRDefault="006B1211">
                <w:r>
                  <w:rPr>
                    <w:b/>
                    <w:bCs/>
                    <w:lang w:val="es-ES"/>
                  </w:rPr>
                  <w:fldChar w:fldCharType="end"/>
                </w:r>
              </w:p>
            </w:sdtContent>
          </w:sdt>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0C08C9" w:rsidRDefault="000C08C9" w:rsidP="00D55CD7">
            <w:pPr>
              <w:jc w:val="both"/>
              <w:rPr>
                <w:rFonts w:ascii="Candara" w:hAnsi="Candara"/>
                <w:b/>
                <w:sz w:val="24"/>
                <w:szCs w:val="24"/>
                <w:lang w:val="es-MX"/>
              </w:rPr>
            </w:pPr>
          </w:p>
          <w:p w:rsidR="006B1211" w:rsidRDefault="006B1211" w:rsidP="00D55CD7">
            <w:pPr>
              <w:jc w:val="both"/>
              <w:rPr>
                <w:rFonts w:ascii="Candara" w:hAnsi="Candara"/>
                <w:b/>
                <w:sz w:val="24"/>
                <w:szCs w:val="24"/>
                <w:lang w:val="es-MX"/>
              </w:rPr>
            </w:pPr>
          </w:p>
          <w:p w:rsidR="006B1211" w:rsidRPr="007F50E2" w:rsidRDefault="006B1211" w:rsidP="006B1211">
            <w:pPr>
              <w:pStyle w:val="Heading1"/>
              <w:pBdr>
                <w:bottom w:val="single" w:sz="4" w:space="1" w:color="333399"/>
              </w:pBdr>
              <w:rPr>
                <w:rFonts w:ascii="Candara" w:hAnsi="Candara"/>
                <w:color w:val="000080"/>
                <w:sz w:val="24"/>
                <w:szCs w:val="24"/>
                <w:lang w:val="es-MX"/>
              </w:rPr>
            </w:pPr>
            <w:bookmarkStart w:id="5" w:name="_Toc56581203"/>
            <w:bookmarkStart w:id="6" w:name="_Toc64531463"/>
            <w:r w:rsidRPr="007F50E2">
              <w:rPr>
                <w:rFonts w:ascii="Candara" w:hAnsi="Candara"/>
                <w:color w:val="000080"/>
                <w:sz w:val="24"/>
                <w:szCs w:val="24"/>
                <w:lang w:val="es-MX"/>
              </w:rPr>
              <w:lastRenderedPageBreak/>
              <w:t>RESUMEN EJECUTIVO</w:t>
            </w:r>
            <w:bookmarkEnd w:id="5"/>
            <w:bookmarkEnd w:id="6"/>
          </w:p>
          <w:p w:rsidR="006B1211" w:rsidRPr="007F50E2" w:rsidRDefault="006B1211" w:rsidP="006B1211">
            <w:pPr>
              <w:rPr>
                <w:rFonts w:ascii="Candara" w:hAnsi="Candara"/>
                <w:sz w:val="24"/>
                <w:szCs w:val="24"/>
                <w:lang w:val="es-MX"/>
              </w:rPr>
            </w:pPr>
          </w:p>
          <w:p w:rsidR="006B1211" w:rsidRPr="007F50E2" w:rsidRDefault="006B1211" w:rsidP="006B1211">
            <w:pPr>
              <w:jc w:val="both"/>
              <w:rPr>
                <w:rFonts w:ascii="Candara" w:hAnsi="Candara"/>
                <w:color w:val="2E74B5"/>
                <w:sz w:val="24"/>
                <w:szCs w:val="24"/>
                <w:lang w:val="es-MX"/>
              </w:rPr>
            </w:pPr>
            <w:r w:rsidRPr="007F50E2">
              <w:rPr>
                <w:rFonts w:ascii="Candara" w:hAnsi="Candara"/>
                <w:b/>
                <w:color w:val="5B9BD5"/>
                <w:sz w:val="24"/>
                <w:szCs w:val="24"/>
                <w:lang w:val="es-MX"/>
              </w:rPr>
              <w:t>I</w:t>
            </w:r>
            <w:r w:rsidRPr="007F50E2">
              <w:rPr>
                <w:rFonts w:ascii="Candara" w:hAnsi="Candara"/>
                <w:color w:val="5B9BD5"/>
                <w:sz w:val="24"/>
                <w:szCs w:val="24"/>
                <w:lang w:val="es-MX"/>
              </w:rPr>
              <w:t>.</w:t>
            </w:r>
            <w:r w:rsidRPr="007F50E2">
              <w:rPr>
                <w:rFonts w:ascii="Candara" w:hAnsi="Candara"/>
                <w:color w:val="2E74B5"/>
                <w:sz w:val="24"/>
                <w:szCs w:val="24"/>
                <w:lang w:val="es-MX"/>
              </w:rPr>
              <w:t xml:space="preserve">  La ejecución financiera del Sector Público No Financiero (SPNF) </w:t>
            </w:r>
            <w:r>
              <w:rPr>
                <w:rFonts w:ascii="Candara" w:hAnsi="Candara"/>
                <w:color w:val="2E74B5"/>
                <w:sz w:val="24"/>
                <w:szCs w:val="24"/>
                <w:lang w:val="es-MX"/>
              </w:rPr>
              <w:t xml:space="preserve">a </w:t>
            </w:r>
            <w:r w:rsidR="006854AC">
              <w:rPr>
                <w:rFonts w:ascii="Candara" w:hAnsi="Candara"/>
                <w:color w:val="2E74B5"/>
                <w:sz w:val="24"/>
                <w:szCs w:val="24"/>
                <w:lang w:val="es-MX"/>
              </w:rPr>
              <w:t>diciembre</w:t>
            </w:r>
            <w:r>
              <w:rPr>
                <w:rFonts w:ascii="Candara" w:hAnsi="Candara"/>
                <w:color w:val="2E74B5"/>
                <w:sz w:val="24"/>
                <w:szCs w:val="24"/>
                <w:lang w:val="es-MX"/>
              </w:rPr>
              <w:t xml:space="preserve"> 2020</w:t>
            </w:r>
            <w:r w:rsidRPr="007F50E2">
              <w:rPr>
                <w:rFonts w:ascii="Candara" w:hAnsi="Candara"/>
                <w:color w:val="2E74B5"/>
                <w:sz w:val="24"/>
                <w:szCs w:val="24"/>
                <w:lang w:val="es-MX"/>
              </w:rPr>
              <w:t xml:space="preserve"> presentó los resultados siguientes:</w:t>
            </w:r>
          </w:p>
          <w:p w:rsidR="006B1211" w:rsidRPr="007F50E2" w:rsidRDefault="006B1211" w:rsidP="006B1211">
            <w:pPr>
              <w:jc w:val="both"/>
              <w:rPr>
                <w:rFonts w:ascii="Candara" w:hAnsi="Candara"/>
                <w:sz w:val="24"/>
                <w:szCs w:val="24"/>
                <w:lang w:val="es-MX"/>
              </w:rPr>
            </w:pPr>
          </w:p>
          <w:p w:rsidR="006B1211" w:rsidRPr="009D2A27" w:rsidRDefault="006B1211" w:rsidP="001D0083">
            <w:pPr>
              <w:pStyle w:val="ListParagraph"/>
              <w:numPr>
                <w:ilvl w:val="0"/>
                <w:numId w:val="17"/>
              </w:numPr>
              <w:jc w:val="both"/>
              <w:rPr>
                <w:rFonts w:ascii="Candara" w:hAnsi="Candara"/>
                <w:sz w:val="24"/>
                <w:szCs w:val="24"/>
                <w:lang w:val="es-MX"/>
              </w:rPr>
            </w:pPr>
            <w:r w:rsidRPr="009D2A27">
              <w:rPr>
                <w:rFonts w:ascii="Candara" w:hAnsi="Candara"/>
                <w:sz w:val="24"/>
                <w:szCs w:val="24"/>
                <w:lang w:val="es-MX"/>
              </w:rPr>
              <w:t>Un déficit global (sin pensiones) de $</w:t>
            </w:r>
            <w:r>
              <w:rPr>
                <w:rFonts w:ascii="Candara" w:hAnsi="Candara"/>
                <w:sz w:val="24"/>
                <w:szCs w:val="24"/>
                <w:lang w:val="es-MX"/>
              </w:rPr>
              <w:t>2,</w:t>
            </w:r>
            <w:r w:rsidR="0006008B">
              <w:rPr>
                <w:rFonts w:ascii="Candara" w:hAnsi="Candara"/>
                <w:sz w:val="24"/>
                <w:szCs w:val="24"/>
                <w:lang w:val="es-MX"/>
              </w:rPr>
              <w:t>197.0</w:t>
            </w:r>
            <w:r w:rsidRPr="009D2A27">
              <w:rPr>
                <w:rFonts w:ascii="Candara" w:hAnsi="Candara"/>
                <w:sz w:val="24"/>
                <w:szCs w:val="24"/>
                <w:lang w:val="es-MX"/>
              </w:rPr>
              <w:t xml:space="preserve"> millones, mayor en $</w:t>
            </w:r>
            <w:r>
              <w:rPr>
                <w:rFonts w:ascii="Candara" w:hAnsi="Candara"/>
                <w:sz w:val="24"/>
                <w:szCs w:val="24"/>
                <w:lang w:val="es-MX"/>
              </w:rPr>
              <w:t>1,</w:t>
            </w:r>
            <w:r w:rsidR="00E03A23">
              <w:rPr>
                <w:rFonts w:ascii="Candara" w:hAnsi="Candara"/>
                <w:sz w:val="24"/>
                <w:szCs w:val="24"/>
                <w:lang w:val="es-MX"/>
              </w:rPr>
              <w:t>7</w:t>
            </w:r>
            <w:r w:rsidR="00B20326">
              <w:rPr>
                <w:rFonts w:ascii="Candara" w:hAnsi="Candara"/>
                <w:sz w:val="24"/>
                <w:szCs w:val="24"/>
                <w:lang w:val="es-MX"/>
              </w:rPr>
              <w:t>25.1</w:t>
            </w:r>
            <w:r w:rsidRPr="009D2A27">
              <w:rPr>
                <w:rFonts w:ascii="Candara" w:hAnsi="Candara"/>
                <w:sz w:val="24"/>
                <w:szCs w:val="24"/>
                <w:lang w:val="es-MX"/>
              </w:rPr>
              <w:t xml:space="preserve"> millones con respecto al resultado obtenido en </w:t>
            </w:r>
            <w:r w:rsidR="006854AC">
              <w:rPr>
                <w:rFonts w:ascii="Candara" w:hAnsi="Candara"/>
                <w:sz w:val="24"/>
                <w:szCs w:val="24"/>
                <w:lang w:val="es-MX"/>
              </w:rPr>
              <w:t>diciembre</w:t>
            </w:r>
            <w:r w:rsidRPr="009D2A27">
              <w:rPr>
                <w:rFonts w:ascii="Candara" w:hAnsi="Candara"/>
                <w:sz w:val="24"/>
                <w:szCs w:val="24"/>
                <w:lang w:val="es-MX"/>
              </w:rPr>
              <w:t xml:space="preserve"> de 2019 y </w:t>
            </w:r>
            <w:r>
              <w:rPr>
                <w:rFonts w:ascii="Candara" w:hAnsi="Candara"/>
                <w:sz w:val="24"/>
                <w:szCs w:val="24"/>
                <w:lang w:val="es-MX"/>
              </w:rPr>
              <w:t xml:space="preserve">que </w:t>
            </w:r>
            <w:r w:rsidRPr="009D2A27">
              <w:rPr>
                <w:rFonts w:ascii="Candara" w:hAnsi="Candara"/>
                <w:sz w:val="24"/>
                <w:szCs w:val="24"/>
                <w:lang w:val="es-MX"/>
              </w:rPr>
              <w:t>equivale</w:t>
            </w:r>
            <w:r>
              <w:rPr>
                <w:rFonts w:ascii="Candara" w:hAnsi="Candara"/>
                <w:sz w:val="24"/>
                <w:szCs w:val="24"/>
                <w:lang w:val="es-MX"/>
              </w:rPr>
              <w:t xml:space="preserve"> a</w:t>
            </w:r>
            <w:r w:rsidRPr="009D2A27">
              <w:rPr>
                <w:rFonts w:ascii="Candara" w:hAnsi="Candara"/>
                <w:sz w:val="24"/>
                <w:szCs w:val="24"/>
                <w:lang w:val="es-MX"/>
              </w:rPr>
              <w:t xml:space="preserve"> </w:t>
            </w:r>
            <w:r>
              <w:rPr>
                <w:rFonts w:ascii="Candara" w:hAnsi="Candara"/>
                <w:sz w:val="24"/>
                <w:szCs w:val="24"/>
                <w:lang w:val="es-MX"/>
              </w:rPr>
              <w:t>-8.</w:t>
            </w:r>
            <w:r w:rsidR="00E03A23">
              <w:rPr>
                <w:rFonts w:ascii="Candara" w:hAnsi="Candara"/>
                <w:sz w:val="24"/>
                <w:szCs w:val="24"/>
                <w:lang w:val="es-MX"/>
              </w:rPr>
              <w:t>7</w:t>
            </w:r>
            <w:r w:rsidRPr="009D2A27">
              <w:rPr>
                <w:rFonts w:ascii="Candara" w:hAnsi="Candara"/>
                <w:sz w:val="24"/>
                <w:szCs w:val="24"/>
                <w:lang w:val="es-MX"/>
              </w:rPr>
              <w:t>% del PIB. Al incorporar el gasto en pensiones ($</w:t>
            </w:r>
            <w:r>
              <w:rPr>
                <w:rFonts w:ascii="Candara" w:hAnsi="Candara"/>
                <w:sz w:val="24"/>
                <w:szCs w:val="24"/>
                <w:lang w:val="es-MX"/>
              </w:rPr>
              <w:t>2</w:t>
            </w:r>
            <w:r w:rsidR="004D610B">
              <w:rPr>
                <w:rFonts w:ascii="Candara" w:hAnsi="Candara"/>
                <w:sz w:val="24"/>
                <w:szCs w:val="24"/>
                <w:lang w:val="es-MX"/>
              </w:rPr>
              <w:t>91.2</w:t>
            </w:r>
            <w:r w:rsidRPr="009D2A27">
              <w:rPr>
                <w:rFonts w:ascii="Candara" w:hAnsi="Candara"/>
                <w:sz w:val="24"/>
                <w:szCs w:val="24"/>
                <w:lang w:val="es-MX"/>
              </w:rPr>
              <w:t xml:space="preserve"> millones), el resultado se amplía a </w:t>
            </w:r>
            <w:r>
              <w:rPr>
                <w:rFonts w:ascii="Candara" w:hAnsi="Candara"/>
                <w:sz w:val="24"/>
                <w:szCs w:val="24"/>
                <w:lang w:val="es-MX"/>
              </w:rPr>
              <w:t>-</w:t>
            </w:r>
            <w:r w:rsidRPr="009D2A27">
              <w:rPr>
                <w:rFonts w:ascii="Candara" w:hAnsi="Candara"/>
                <w:sz w:val="24"/>
                <w:szCs w:val="24"/>
                <w:lang w:val="es-MX"/>
              </w:rPr>
              <w:t>$</w:t>
            </w:r>
            <w:r>
              <w:rPr>
                <w:rFonts w:ascii="Candara" w:hAnsi="Candara"/>
                <w:sz w:val="24"/>
                <w:szCs w:val="24"/>
                <w:lang w:val="es-MX"/>
              </w:rPr>
              <w:t>2,</w:t>
            </w:r>
            <w:r w:rsidR="00E03A23">
              <w:rPr>
                <w:rFonts w:ascii="Candara" w:hAnsi="Candara"/>
                <w:sz w:val="24"/>
                <w:szCs w:val="24"/>
                <w:lang w:val="es-MX"/>
              </w:rPr>
              <w:t>4</w:t>
            </w:r>
            <w:r w:rsidR="00B20326">
              <w:rPr>
                <w:rFonts w:ascii="Candara" w:hAnsi="Candara"/>
                <w:sz w:val="24"/>
                <w:szCs w:val="24"/>
                <w:lang w:val="es-MX"/>
              </w:rPr>
              <w:t>8</w:t>
            </w:r>
            <w:r w:rsidR="004D610B">
              <w:rPr>
                <w:rFonts w:ascii="Candara" w:hAnsi="Candara"/>
                <w:sz w:val="24"/>
                <w:szCs w:val="24"/>
                <w:lang w:val="es-MX"/>
              </w:rPr>
              <w:t>8.</w:t>
            </w:r>
            <w:r w:rsidR="00B20326">
              <w:rPr>
                <w:rFonts w:ascii="Candara" w:hAnsi="Candara"/>
                <w:sz w:val="24"/>
                <w:szCs w:val="24"/>
                <w:lang w:val="es-MX"/>
              </w:rPr>
              <w:t>3</w:t>
            </w:r>
            <w:r w:rsidRPr="009D2A27">
              <w:rPr>
                <w:rFonts w:ascii="Candara" w:hAnsi="Candara"/>
                <w:sz w:val="24"/>
                <w:szCs w:val="24"/>
                <w:lang w:val="es-MX"/>
              </w:rPr>
              <w:t xml:space="preserve"> millones, equivalentes a -</w:t>
            </w:r>
            <w:r w:rsidR="00E03A23">
              <w:rPr>
                <w:rFonts w:ascii="Candara" w:hAnsi="Candara"/>
                <w:sz w:val="24"/>
                <w:szCs w:val="24"/>
                <w:lang w:val="es-MX"/>
              </w:rPr>
              <w:t>9.</w:t>
            </w:r>
            <w:r w:rsidR="004D610B">
              <w:rPr>
                <w:rFonts w:ascii="Candara" w:hAnsi="Candara"/>
                <w:sz w:val="24"/>
                <w:szCs w:val="24"/>
                <w:lang w:val="es-MX"/>
              </w:rPr>
              <w:t>9</w:t>
            </w:r>
            <w:r w:rsidRPr="009D2A27">
              <w:rPr>
                <w:rFonts w:ascii="Candara" w:hAnsi="Candara"/>
                <w:sz w:val="24"/>
                <w:szCs w:val="24"/>
                <w:lang w:val="es-MX"/>
              </w:rPr>
              <w:t xml:space="preserve">% del PIB, </w:t>
            </w:r>
            <w:r>
              <w:rPr>
                <w:rFonts w:ascii="Candara" w:hAnsi="Candara"/>
                <w:sz w:val="24"/>
                <w:szCs w:val="24"/>
                <w:lang w:val="es-MX"/>
              </w:rPr>
              <w:t>con un aumento d</w:t>
            </w:r>
            <w:r w:rsidRPr="009D2A27">
              <w:rPr>
                <w:rFonts w:ascii="Candara" w:hAnsi="Candara"/>
                <w:sz w:val="24"/>
                <w:szCs w:val="24"/>
                <w:lang w:val="es-MX"/>
              </w:rPr>
              <w:t xml:space="preserve">e </w:t>
            </w:r>
            <w:r>
              <w:rPr>
                <w:rFonts w:ascii="Candara" w:hAnsi="Candara"/>
                <w:sz w:val="24"/>
                <w:szCs w:val="24"/>
                <w:lang w:val="es-MX"/>
              </w:rPr>
              <w:t>-</w:t>
            </w:r>
            <w:r w:rsidRPr="009D2A27">
              <w:rPr>
                <w:rFonts w:ascii="Candara" w:hAnsi="Candara"/>
                <w:sz w:val="24"/>
                <w:szCs w:val="24"/>
                <w:lang w:val="es-MX"/>
              </w:rPr>
              <w:t>$</w:t>
            </w:r>
            <w:r>
              <w:rPr>
                <w:rFonts w:ascii="Candara" w:hAnsi="Candara"/>
                <w:sz w:val="24"/>
                <w:szCs w:val="24"/>
                <w:lang w:val="es-MX"/>
              </w:rPr>
              <w:t>1,</w:t>
            </w:r>
            <w:r w:rsidR="00E03A23">
              <w:rPr>
                <w:rFonts w:ascii="Candara" w:hAnsi="Candara"/>
                <w:sz w:val="24"/>
                <w:szCs w:val="24"/>
                <w:lang w:val="es-MX"/>
              </w:rPr>
              <w:t>6</w:t>
            </w:r>
            <w:r w:rsidR="00B20326">
              <w:rPr>
                <w:rFonts w:ascii="Candara" w:hAnsi="Candara"/>
                <w:sz w:val="24"/>
                <w:szCs w:val="24"/>
                <w:lang w:val="es-MX"/>
              </w:rPr>
              <w:t>70.8</w:t>
            </w:r>
            <w:r w:rsidRPr="009D2A27">
              <w:rPr>
                <w:rFonts w:ascii="Candara" w:hAnsi="Candara"/>
                <w:sz w:val="24"/>
                <w:szCs w:val="24"/>
                <w:lang w:val="es-MX"/>
              </w:rPr>
              <w:t xml:space="preserve"> millones con respecto al resultado del mismo periodo del año anterior.</w:t>
            </w:r>
          </w:p>
          <w:p w:rsidR="006B1211" w:rsidRPr="007F50E2" w:rsidRDefault="006B1211" w:rsidP="006B1211">
            <w:pPr>
              <w:ind w:left="284"/>
              <w:jc w:val="both"/>
              <w:rPr>
                <w:rFonts w:ascii="Candara" w:hAnsi="Candara"/>
                <w:sz w:val="24"/>
                <w:szCs w:val="24"/>
                <w:lang w:val="es-MX"/>
              </w:rPr>
            </w:pPr>
          </w:p>
          <w:p w:rsidR="006B1211" w:rsidRPr="009D2A27" w:rsidRDefault="006B1211" w:rsidP="001D0083">
            <w:pPr>
              <w:pStyle w:val="ListParagraph"/>
              <w:numPr>
                <w:ilvl w:val="0"/>
                <w:numId w:val="17"/>
              </w:numPr>
              <w:jc w:val="both"/>
              <w:rPr>
                <w:rFonts w:ascii="Candara" w:hAnsi="Candara"/>
                <w:sz w:val="24"/>
                <w:szCs w:val="24"/>
                <w:lang w:val="es-MX"/>
              </w:rPr>
            </w:pPr>
            <w:r w:rsidRPr="009D2A27">
              <w:rPr>
                <w:rFonts w:ascii="Candara" w:hAnsi="Candara"/>
                <w:sz w:val="24"/>
                <w:szCs w:val="24"/>
                <w:lang w:val="es-MX"/>
              </w:rPr>
              <w:t>El balance primario (con pensiones), obtuvo un déficit de $</w:t>
            </w:r>
            <w:r>
              <w:rPr>
                <w:rFonts w:ascii="Candara" w:hAnsi="Candara"/>
                <w:sz w:val="24"/>
                <w:szCs w:val="24"/>
                <w:lang w:val="es-MX"/>
              </w:rPr>
              <w:t>1,</w:t>
            </w:r>
            <w:r w:rsidR="004D610B">
              <w:rPr>
                <w:rFonts w:ascii="Candara" w:hAnsi="Candara"/>
                <w:sz w:val="24"/>
                <w:szCs w:val="24"/>
                <w:lang w:val="es-MX"/>
              </w:rPr>
              <w:t>4</w:t>
            </w:r>
            <w:r w:rsidR="00B20326">
              <w:rPr>
                <w:rFonts w:ascii="Candara" w:hAnsi="Candara"/>
                <w:sz w:val="24"/>
                <w:szCs w:val="24"/>
                <w:lang w:val="es-MX"/>
              </w:rPr>
              <w:t>06.9</w:t>
            </w:r>
            <w:r w:rsidRPr="009D2A27">
              <w:rPr>
                <w:rFonts w:ascii="Candara" w:hAnsi="Candara"/>
                <w:sz w:val="24"/>
                <w:szCs w:val="24"/>
                <w:lang w:val="es-MX"/>
              </w:rPr>
              <w:t xml:space="preserve"> millones, equivalente a </w:t>
            </w:r>
            <w:r>
              <w:rPr>
                <w:rFonts w:ascii="Candara" w:hAnsi="Candara"/>
                <w:sz w:val="24"/>
                <w:szCs w:val="24"/>
                <w:lang w:val="es-MX"/>
              </w:rPr>
              <w:t>-5.</w:t>
            </w:r>
            <w:r w:rsidR="004D610B">
              <w:rPr>
                <w:rFonts w:ascii="Candara" w:hAnsi="Candara"/>
                <w:sz w:val="24"/>
                <w:szCs w:val="24"/>
                <w:lang w:val="es-MX"/>
              </w:rPr>
              <w:t>6</w:t>
            </w:r>
            <w:r w:rsidRPr="009D2A27">
              <w:rPr>
                <w:rFonts w:ascii="Candara" w:hAnsi="Candara"/>
                <w:sz w:val="24"/>
                <w:szCs w:val="24"/>
                <w:lang w:val="es-MX"/>
              </w:rPr>
              <w:t xml:space="preserve">% del PIB, </w:t>
            </w:r>
            <w:r>
              <w:rPr>
                <w:rFonts w:ascii="Candara" w:hAnsi="Candara"/>
                <w:sz w:val="24"/>
                <w:szCs w:val="24"/>
                <w:lang w:val="es-MX"/>
              </w:rPr>
              <w:t>que con respecto al superávit de 2019 se generó una diferencia negativa de</w:t>
            </w:r>
            <w:r w:rsidRPr="009D2A27">
              <w:rPr>
                <w:rFonts w:ascii="Candara" w:hAnsi="Candara"/>
                <w:sz w:val="24"/>
                <w:szCs w:val="24"/>
                <w:lang w:val="es-MX"/>
              </w:rPr>
              <w:t xml:space="preserve"> </w:t>
            </w:r>
            <w:r>
              <w:rPr>
                <w:rFonts w:ascii="Candara" w:hAnsi="Candara"/>
                <w:sz w:val="24"/>
                <w:szCs w:val="24"/>
                <w:lang w:val="es-MX"/>
              </w:rPr>
              <w:t>-</w:t>
            </w:r>
            <w:r w:rsidRPr="009D2A27">
              <w:rPr>
                <w:rFonts w:ascii="Candara" w:hAnsi="Candara"/>
                <w:sz w:val="24"/>
                <w:szCs w:val="24"/>
                <w:lang w:val="es-MX"/>
              </w:rPr>
              <w:t>$</w:t>
            </w:r>
            <w:r>
              <w:rPr>
                <w:rFonts w:ascii="Candara" w:hAnsi="Candara"/>
                <w:sz w:val="24"/>
                <w:szCs w:val="24"/>
                <w:lang w:val="es-MX"/>
              </w:rPr>
              <w:t>1,</w:t>
            </w:r>
            <w:r w:rsidR="00E03A23">
              <w:rPr>
                <w:rFonts w:ascii="Candara" w:hAnsi="Candara"/>
                <w:sz w:val="24"/>
                <w:szCs w:val="24"/>
                <w:lang w:val="es-MX"/>
              </w:rPr>
              <w:t>5</w:t>
            </w:r>
            <w:r w:rsidR="00B20326">
              <w:rPr>
                <w:rFonts w:ascii="Candara" w:hAnsi="Candara"/>
                <w:sz w:val="24"/>
                <w:szCs w:val="24"/>
                <w:lang w:val="es-MX"/>
              </w:rPr>
              <w:t>80.5</w:t>
            </w:r>
            <w:r w:rsidRPr="009D2A27">
              <w:rPr>
                <w:rFonts w:ascii="Candara" w:hAnsi="Candara"/>
                <w:sz w:val="24"/>
                <w:szCs w:val="24"/>
                <w:lang w:val="es-MX"/>
              </w:rPr>
              <w:t xml:space="preserve"> millones</w:t>
            </w:r>
            <w:r>
              <w:rPr>
                <w:rFonts w:ascii="Candara" w:hAnsi="Candara"/>
                <w:sz w:val="24"/>
                <w:szCs w:val="24"/>
                <w:lang w:val="es-MX"/>
              </w:rPr>
              <w:t>.</w:t>
            </w:r>
            <w:r w:rsidRPr="009D2A27">
              <w:rPr>
                <w:rFonts w:ascii="Candara" w:hAnsi="Candara"/>
                <w:sz w:val="24"/>
                <w:szCs w:val="24"/>
                <w:lang w:val="es-MX"/>
              </w:rPr>
              <w:t xml:space="preserve"> </w:t>
            </w:r>
          </w:p>
          <w:p w:rsidR="006B1211" w:rsidRPr="007F50E2" w:rsidRDefault="006B1211" w:rsidP="006B1211">
            <w:pPr>
              <w:ind w:left="284"/>
              <w:jc w:val="both"/>
              <w:rPr>
                <w:rFonts w:ascii="Candara" w:hAnsi="Candara"/>
                <w:sz w:val="24"/>
                <w:szCs w:val="24"/>
                <w:lang w:val="es-MX"/>
              </w:rPr>
            </w:pPr>
          </w:p>
          <w:p w:rsidR="006B1211" w:rsidRPr="00DD424A" w:rsidRDefault="006B1211" w:rsidP="001D0083">
            <w:pPr>
              <w:pStyle w:val="ListParagraph"/>
              <w:numPr>
                <w:ilvl w:val="0"/>
                <w:numId w:val="17"/>
              </w:numPr>
              <w:jc w:val="both"/>
              <w:rPr>
                <w:rFonts w:ascii="Candara" w:hAnsi="Candara"/>
                <w:sz w:val="24"/>
                <w:szCs w:val="24"/>
                <w:lang w:val="es-MX"/>
              </w:rPr>
            </w:pPr>
            <w:r w:rsidRPr="00DD424A">
              <w:rPr>
                <w:rFonts w:ascii="Candara" w:hAnsi="Candara"/>
                <w:sz w:val="24"/>
                <w:szCs w:val="24"/>
                <w:lang w:val="es-MX"/>
              </w:rPr>
              <w:t>Los ingresos y donaciones del SPNF registraron un monto acumulado de $</w:t>
            </w:r>
            <w:r w:rsidR="00E03A23">
              <w:rPr>
                <w:rFonts w:ascii="Candara" w:hAnsi="Candara"/>
                <w:sz w:val="24"/>
                <w:szCs w:val="24"/>
                <w:lang w:val="es-MX"/>
              </w:rPr>
              <w:t>5,7</w:t>
            </w:r>
            <w:r w:rsidR="00B20326">
              <w:rPr>
                <w:rFonts w:ascii="Candara" w:hAnsi="Candara"/>
                <w:sz w:val="24"/>
                <w:szCs w:val="24"/>
                <w:lang w:val="es-MX"/>
              </w:rPr>
              <w:t>38.8</w:t>
            </w:r>
            <w:r w:rsidRPr="00DD424A">
              <w:rPr>
                <w:rFonts w:ascii="Candara" w:hAnsi="Candara"/>
                <w:sz w:val="24"/>
                <w:szCs w:val="24"/>
                <w:lang w:val="es-MX"/>
              </w:rPr>
              <w:t xml:space="preserve"> millones, mostrando un</w:t>
            </w:r>
            <w:r>
              <w:rPr>
                <w:rFonts w:ascii="Candara" w:hAnsi="Candara"/>
                <w:sz w:val="24"/>
                <w:szCs w:val="24"/>
                <w:lang w:val="es-MX"/>
              </w:rPr>
              <w:t>a</w:t>
            </w:r>
            <w:r w:rsidRPr="00DD424A">
              <w:rPr>
                <w:rFonts w:ascii="Candara" w:hAnsi="Candara"/>
                <w:sz w:val="24"/>
                <w:szCs w:val="24"/>
                <w:lang w:val="es-MX"/>
              </w:rPr>
              <w:t xml:space="preserve"> </w:t>
            </w:r>
            <w:r>
              <w:rPr>
                <w:rFonts w:ascii="Candara" w:hAnsi="Candara"/>
                <w:sz w:val="24"/>
                <w:szCs w:val="24"/>
                <w:lang w:val="es-MX"/>
              </w:rPr>
              <w:t xml:space="preserve">reducción </w:t>
            </w:r>
            <w:r w:rsidRPr="00DD424A">
              <w:rPr>
                <w:rFonts w:ascii="Candara" w:hAnsi="Candara"/>
                <w:sz w:val="24"/>
                <w:szCs w:val="24"/>
                <w:lang w:val="es-MX"/>
              </w:rPr>
              <w:t>de $</w:t>
            </w:r>
            <w:r w:rsidR="00E03A23">
              <w:rPr>
                <w:rFonts w:ascii="Candara" w:hAnsi="Candara"/>
                <w:sz w:val="24"/>
                <w:szCs w:val="24"/>
                <w:lang w:val="es-MX"/>
              </w:rPr>
              <w:t>4</w:t>
            </w:r>
            <w:r w:rsidR="00B20326">
              <w:rPr>
                <w:rFonts w:ascii="Candara" w:hAnsi="Candara"/>
                <w:sz w:val="24"/>
                <w:szCs w:val="24"/>
                <w:lang w:val="es-MX"/>
              </w:rPr>
              <w:t>10.0</w:t>
            </w:r>
            <w:r w:rsidRPr="00DD424A">
              <w:rPr>
                <w:rFonts w:ascii="Candara" w:hAnsi="Candara"/>
                <w:sz w:val="24"/>
                <w:szCs w:val="24"/>
                <w:lang w:val="es-MX"/>
              </w:rPr>
              <w:t xml:space="preserve"> millones (</w:t>
            </w:r>
            <w:r w:rsidR="00E03A23">
              <w:rPr>
                <w:rFonts w:ascii="Candara" w:hAnsi="Candara"/>
                <w:sz w:val="24"/>
                <w:szCs w:val="24"/>
                <w:lang w:val="es-MX"/>
              </w:rPr>
              <w:t>6.</w:t>
            </w:r>
            <w:r w:rsidR="00B20326">
              <w:rPr>
                <w:rFonts w:ascii="Candara" w:hAnsi="Candara"/>
                <w:sz w:val="24"/>
                <w:szCs w:val="24"/>
                <w:lang w:val="es-MX"/>
              </w:rPr>
              <w:t>7</w:t>
            </w:r>
            <w:r w:rsidRPr="00DD424A">
              <w:rPr>
                <w:rFonts w:ascii="Candara" w:hAnsi="Candara"/>
                <w:sz w:val="24"/>
                <w:szCs w:val="24"/>
                <w:lang w:val="es-MX"/>
              </w:rPr>
              <w:t xml:space="preserve">%) con respecto al mismo periodo de 2019, explicado básicamente por el desempeño de los ingresos corrientes, que registraron un </w:t>
            </w:r>
            <w:r>
              <w:rPr>
                <w:rFonts w:ascii="Candara" w:hAnsi="Candara"/>
                <w:sz w:val="24"/>
                <w:szCs w:val="24"/>
                <w:lang w:val="es-MX"/>
              </w:rPr>
              <w:t>de</w:t>
            </w:r>
            <w:r w:rsidRPr="00DD424A">
              <w:rPr>
                <w:rFonts w:ascii="Candara" w:hAnsi="Candara"/>
                <w:sz w:val="24"/>
                <w:szCs w:val="24"/>
                <w:lang w:val="es-MX"/>
              </w:rPr>
              <w:t xml:space="preserve">crecimiento de </w:t>
            </w:r>
            <w:r w:rsidR="00E03A23">
              <w:rPr>
                <w:rFonts w:ascii="Candara" w:hAnsi="Candara"/>
                <w:sz w:val="24"/>
                <w:szCs w:val="24"/>
                <w:lang w:val="es-MX"/>
              </w:rPr>
              <w:t>7.</w:t>
            </w:r>
            <w:r w:rsidR="00B20326">
              <w:rPr>
                <w:rFonts w:ascii="Candara" w:hAnsi="Candara"/>
                <w:sz w:val="24"/>
                <w:szCs w:val="24"/>
                <w:lang w:val="es-MX"/>
              </w:rPr>
              <w:t>0</w:t>
            </w:r>
            <w:r w:rsidRPr="00DD424A">
              <w:rPr>
                <w:rFonts w:ascii="Candara" w:hAnsi="Candara"/>
                <w:sz w:val="24"/>
                <w:szCs w:val="24"/>
                <w:lang w:val="es-MX"/>
              </w:rPr>
              <w:t>%</w:t>
            </w:r>
            <w:r>
              <w:rPr>
                <w:rFonts w:ascii="Candara" w:hAnsi="Candara"/>
                <w:sz w:val="24"/>
                <w:szCs w:val="24"/>
                <w:lang w:val="es-MX"/>
              </w:rPr>
              <w:t xml:space="preserve">, de manera específica los tributarios que registraron una disminución </w:t>
            </w:r>
            <w:r w:rsidR="00003DBE">
              <w:rPr>
                <w:rFonts w:ascii="Candara" w:hAnsi="Candara"/>
                <w:sz w:val="24"/>
                <w:szCs w:val="24"/>
                <w:lang w:val="es-MX"/>
              </w:rPr>
              <w:t xml:space="preserve">anual </w:t>
            </w:r>
            <w:r>
              <w:rPr>
                <w:rFonts w:ascii="Candara" w:hAnsi="Candara"/>
                <w:sz w:val="24"/>
                <w:szCs w:val="24"/>
                <w:lang w:val="es-MX"/>
              </w:rPr>
              <w:t xml:space="preserve">de </w:t>
            </w:r>
            <w:r w:rsidR="00B20326">
              <w:rPr>
                <w:rFonts w:ascii="Candara" w:hAnsi="Candara"/>
                <w:sz w:val="24"/>
                <w:szCs w:val="24"/>
                <w:lang w:val="es-MX"/>
              </w:rPr>
              <w:t>5.9</w:t>
            </w:r>
            <w:r>
              <w:rPr>
                <w:rFonts w:ascii="Candara" w:hAnsi="Candara"/>
                <w:sz w:val="24"/>
                <w:szCs w:val="24"/>
                <w:lang w:val="es-MX"/>
              </w:rPr>
              <w:t>%</w:t>
            </w:r>
            <w:r w:rsidRPr="00DD424A">
              <w:rPr>
                <w:rFonts w:ascii="Candara" w:hAnsi="Candara"/>
                <w:sz w:val="24"/>
                <w:szCs w:val="24"/>
                <w:lang w:val="es-MX"/>
              </w:rPr>
              <w:t xml:space="preserve">. Los ingresos totales representaron </w:t>
            </w:r>
            <w:r>
              <w:rPr>
                <w:rFonts w:ascii="Candara" w:hAnsi="Candara"/>
                <w:sz w:val="24"/>
                <w:szCs w:val="24"/>
                <w:lang w:val="es-MX"/>
              </w:rPr>
              <w:t xml:space="preserve">a </w:t>
            </w:r>
            <w:r w:rsidR="006854AC">
              <w:rPr>
                <w:rFonts w:ascii="Candara" w:hAnsi="Candara"/>
                <w:sz w:val="24"/>
                <w:szCs w:val="24"/>
                <w:lang w:val="es-MX"/>
              </w:rPr>
              <w:t>diciembre</w:t>
            </w:r>
            <w:r>
              <w:rPr>
                <w:rFonts w:ascii="Candara" w:hAnsi="Candara"/>
                <w:sz w:val="24"/>
                <w:szCs w:val="24"/>
                <w:lang w:val="es-MX"/>
              </w:rPr>
              <w:t xml:space="preserve"> un</w:t>
            </w:r>
            <w:r w:rsidRPr="00DD424A">
              <w:rPr>
                <w:rFonts w:ascii="Candara" w:hAnsi="Candara"/>
                <w:sz w:val="24"/>
                <w:szCs w:val="24"/>
                <w:lang w:val="es-MX"/>
              </w:rPr>
              <w:t xml:space="preserve"> </w:t>
            </w:r>
            <w:r w:rsidR="00E03A23">
              <w:rPr>
                <w:rFonts w:ascii="Candara" w:hAnsi="Candara"/>
                <w:sz w:val="24"/>
                <w:szCs w:val="24"/>
                <w:lang w:val="es-MX"/>
              </w:rPr>
              <w:t>22.7</w:t>
            </w:r>
            <w:r w:rsidRPr="00DD424A">
              <w:rPr>
                <w:rFonts w:ascii="Candara" w:hAnsi="Candara"/>
                <w:sz w:val="24"/>
                <w:szCs w:val="24"/>
                <w:lang w:val="es-MX"/>
              </w:rPr>
              <w:t>% del PIB.</w:t>
            </w:r>
          </w:p>
          <w:p w:rsidR="006B1211" w:rsidRPr="007F50E2" w:rsidRDefault="006B1211" w:rsidP="006B1211">
            <w:pPr>
              <w:ind w:left="284"/>
              <w:jc w:val="both"/>
              <w:rPr>
                <w:rFonts w:ascii="Candara" w:hAnsi="Candara"/>
                <w:sz w:val="24"/>
                <w:szCs w:val="24"/>
                <w:lang w:val="es-MX"/>
              </w:rPr>
            </w:pPr>
          </w:p>
          <w:p w:rsidR="006B1211" w:rsidRPr="00714E28" w:rsidRDefault="006B1211" w:rsidP="001D0083">
            <w:pPr>
              <w:pStyle w:val="ListParagraph"/>
              <w:numPr>
                <w:ilvl w:val="0"/>
                <w:numId w:val="17"/>
              </w:numPr>
              <w:jc w:val="both"/>
              <w:rPr>
                <w:rFonts w:ascii="Candara" w:hAnsi="Candara"/>
                <w:sz w:val="24"/>
                <w:szCs w:val="24"/>
                <w:lang w:val="es-MX"/>
              </w:rPr>
            </w:pPr>
            <w:r w:rsidRPr="00714E28">
              <w:rPr>
                <w:rFonts w:ascii="Candara" w:hAnsi="Candara"/>
                <w:sz w:val="24"/>
                <w:szCs w:val="24"/>
                <w:lang w:val="es-MX"/>
              </w:rPr>
              <w:t xml:space="preserve">Los ingresos tributarios (incluyendo las contribuciones especiales) </w:t>
            </w:r>
            <w:r>
              <w:rPr>
                <w:rFonts w:ascii="Candara" w:hAnsi="Candara"/>
                <w:sz w:val="24"/>
                <w:szCs w:val="24"/>
                <w:lang w:val="es-MX"/>
              </w:rPr>
              <w:t>a</w:t>
            </w:r>
            <w:r w:rsidRPr="00714E28">
              <w:rPr>
                <w:rFonts w:ascii="Candara" w:hAnsi="Candara"/>
                <w:sz w:val="24"/>
                <w:szCs w:val="24"/>
                <w:lang w:val="es-MX"/>
              </w:rPr>
              <w:t xml:space="preserve">l </w:t>
            </w:r>
            <w:r w:rsidR="006854AC">
              <w:rPr>
                <w:rFonts w:ascii="Candara" w:hAnsi="Candara"/>
                <w:sz w:val="24"/>
                <w:szCs w:val="24"/>
                <w:lang w:val="es-MX"/>
              </w:rPr>
              <w:t>cuarto trimestre</w:t>
            </w:r>
            <w:r w:rsidRPr="00714E28">
              <w:rPr>
                <w:rFonts w:ascii="Candara" w:hAnsi="Candara"/>
                <w:sz w:val="24"/>
                <w:szCs w:val="24"/>
                <w:lang w:val="es-MX"/>
              </w:rPr>
              <w:t xml:space="preserve"> de 2020 alcanzaron un total de $</w:t>
            </w:r>
            <w:r w:rsidR="00E03A23">
              <w:rPr>
                <w:rFonts w:ascii="Candara" w:hAnsi="Candara"/>
                <w:sz w:val="24"/>
                <w:szCs w:val="24"/>
                <w:lang w:val="es-MX"/>
              </w:rPr>
              <w:t>4,6</w:t>
            </w:r>
            <w:r w:rsidR="00B20326">
              <w:rPr>
                <w:rFonts w:ascii="Candara" w:hAnsi="Candara"/>
                <w:sz w:val="24"/>
                <w:szCs w:val="24"/>
                <w:lang w:val="es-MX"/>
              </w:rPr>
              <w:t>25.8</w:t>
            </w:r>
            <w:r w:rsidRPr="00714E28">
              <w:rPr>
                <w:rFonts w:ascii="Candara" w:hAnsi="Candara"/>
                <w:sz w:val="24"/>
                <w:szCs w:val="24"/>
                <w:lang w:val="es-MX"/>
              </w:rPr>
              <w:t xml:space="preserve"> millones, mostrando una variación anual de </w:t>
            </w:r>
            <w:r>
              <w:rPr>
                <w:rFonts w:ascii="Candara" w:hAnsi="Candara"/>
                <w:sz w:val="24"/>
                <w:szCs w:val="24"/>
                <w:lang w:val="es-MX"/>
              </w:rPr>
              <w:t>-</w:t>
            </w:r>
            <w:r w:rsidRPr="00714E28">
              <w:rPr>
                <w:rFonts w:ascii="Candara" w:hAnsi="Candara"/>
                <w:sz w:val="24"/>
                <w:szCs w:val="24"/>
                <w:lang w:val="es-MX"/>
              </w:rPr>
              <w:t>$</w:t>
            </w:r>
            <w:r w:rsidR="00E03A23">
              <w:rPr>
                <w:rFonts w:ascii="Candara" w:hAnsi="Candara"/>
                <w:sz w:val="24"/>
                <w:szCs w:val="24"/>
                <w:lang w:val="es-MX"/>
              </w:rPr>
              <w:t>2</w:t>
            </w:r>
            <w:r w:rsidR="00B20326">
              <w:rPr>
                <w:rFonts w:ascii="Candara" w:hAnsi="Candara"/>
                <w:sz w:val="24"/>
                <w:szCs w:val="24"/>
                <w:lang w:val="es-MX"/>
              </w:rPr>
              <w:t>88.1</w:t>
            </w:r>
            <w:r>
              <w:rPr>
                <w:rFonts w:ascii="Candara" w:hAnsi="Candara"/>
                <w:sz w:val="24"/>
                <w:szCs w:val="24"/>
                <w:lang w:val="es-MX"/>
              </w:rPr>
              <w:t xml:space="preserve"> </w:t>
            </w:r>
            <w:r w:rsidRPr="00714E28">
              <w:rPr>
                <w:rFonts w:ascii="Candara" w:hAnsi="Candara"/>
                <w:sz w:val="24"/>
                <w:szCs w:val="24"/>
                <w:lang w:val="es-MX"/>
              </w:rPr>
              <w:t>millones (</w:t>
            </w:r>
            <w:r>
              <w:rPr>
                <w:rFonts w:ascii="Candara" w:hAnsi="Candara"/>
                <w:sz w:val="24"/>
                <w:szCs w:val="24"/>
                <w:lang w:val="es-MX"/>
              </w:rPr>
              <w:t>-</w:t>
            </w:r>
            <w:r w:rsidR="00B20326">
              <w:rPr>
                <w:rFonts w:ascii="Candara" w:hAnsi="Candara"/>
                <w:sz w:val="24"/>
                <w:szCs w:val="24"/>
                <w:lang w:val="es-MX"/>
              </w:rPr>
              <w:t>5.9</w:t>
            </w:r>
            <w:r w:rsidRPr="00714E28">
              <w:rPr>
                <w:rFonts w:ascii="Candara" w:hAnsi="Candara"/>
                <w:sz w:val="24"/>
                <w:szCs w:val="24"/>
                <w:lang w:val="es-MX"/>
              </w:rPr>
              <w:t xml:space="preserve">%), </w:t>
            </w:r>
            <w:r>
              <w:rPr>
                <w:rFonts w:ascii="Candara" w:hAnsi="Candara"/>
                <w:sz w:val="24"/>
                <w:szCs w:val="24"/>
                <w:lang w:val="es-MX"/>
              </w:rPr>
              <w:t xml:space="preserve">debido </w:t>
            </w:r>
            <w:r w:rsidRPr="00714E28">
              <w:rPr>
                <w:rFonts w:ascii="Candara" w:hAnsi="Candara"/>
                <w:sz w:val="24"/>
                <w:szCs w:val="24"/>
                <w:lang w:val="es-MX"/>
              </w:rPr>
              <w:t>a los efectos de la Pandemia COVID-19, por la reducción de las actividades económicas y los niveles de comercio exterior</w:t>
            </w:r>
            <w:r>
              <w:rPr>
                <w:rFonts w:ascii="Candara" w:hAnsi="Candara"/>
                <w:sz w:val="24"/>
                <w:szCs w:val="24"/>
                <w:lang w:val="es-MX"/>
              </w:rPr>
              <w:t>, provocando p</w:t>
            </w:r>
            <w:r w:rsidR="005B1FBC">
              <w:rPr>
                <w:rFonts w:ascii="Candara" w:hAnsi="Candara"/>
                <w:sz w:val="24"/>
                <w:szCs w:val="24"/>
                <w:lang w:val="es-MX"/>
              </w:rPr>
              <w:t>é</w:t>
            </w:r>
            <w:r>
              <w:rPr>
                <w:rFonts w:ascii="Candara" w:hAnsi="Candara"/>
                <w:sz w:val="24"/>
                <w:szCs w:val="24"/>
                <w:lang w:val="es-MX"/>
              </w:rPr>
              <w:t xml:space="preserve">rdidas </w:t>
            </w:r>
            <w:r w:rsidRPr="00714E28">
              <w:rPr>
                <w:rFonts w:ascii="Candara" w:hAnsi="Candara"/>
                <w:sz w:val="24"/>
                <w:szCs w:val="24"/>
                <w:lang w:val="es-MX"/>
              </w:rPr>
              <w:t xml:space="preserve">principalmente en la recaudación </w:t>
            </w:r>
            <w:r>
              <w:rPr>
                <w:rFonts w:ascii="Candara" w:hAnsi="Candara"/>
                <w:sz w:val="24"/>
                <w:szCs w:val="24"/>
                <w:lang w:val="es-MX"/>
              </w:rPr>
              <w:t>de</w:t>
            </w:r>
            <w:r w:rsidRPr="00714E28">
              <w:rPr>
                <w:rFonts w:ascii="Candara" w:hAnsi="Candara"/>
                <w:sz w:val="24"/>
                <w:szCs w:val="24"/>
                <w:lang w:val="es-MX"/>
              </w:rPr>
              <w:t>l impuesto sobre la Renta en $</w:t>
            </w:r>
            <w:r w:rsidR="00E03A23">
              <w:rPr>
                <w:rFonts w:ascii="Candara" w:hAnsi="Candara"/>
                <w:sz w:val="24"/>
                <w:szCs w:val="24"/>
                <w:lang w:val="es-MX"/>
              </w:rPr>
              <w:t>26.</w:t>
            </w:r>
            <w:r w:rsidR="00B20326">
              <w:rPr>
                <w:rFonts w:ascii="Candara" w:hAnsi="Candara"/>
                <w:sz w:val="24"/>
                <w:szCs w:val="24"/>
                <w:lang w:val="es-MX"/>
              </w:rPr>
              <w:t>6</w:t>
            </w:r>
            <w:r w:rsidRPr="00714E28">
              <w:rPr>
                <w:rFonts w:ascii="Candara" w:hAnsi="Candara"/>
                <w:sz w:val="24"/>
                <w:szCs w:val="24"/>
                <w:lang w:val="es-MX"/>
              </w:rPr>
              <w:t xml:space="preserve"> millones</w:t>
            </w:r>
            <w:r>
              <w:rPr>
                <w:rFonts w:ascii="Candara" w:hAnsi="Candara"/>
                <w:sz w:val="24"/>
                <w:szCs w:val="24"/>
                <w:lang w:val="es-MX"/>
              </w:rPr>
              <w:t>;</w:t>
            </w:r>
            <w:r w:rsidRPr="00714E28">
              <w:rPr>
                <w:rFonts w:ascii="Candara" w:hAnsi="Candara"/>
                <w:sz w:val="24"/>
                <w:szCs w:val="24"/>
                <w:lang w:val="es-MX"/>
              </w:rPr>
              <w:t xml:space="preserve">  el Impuesto al Valor Agregado “IVA” por $</w:t>
            </w:r>
            <w:r>
              <w:rPr>
                <w:rFonts w:ascii="Candara" w:hAnsi="Candara"/>
                <w:sz w:val="24"/>
                <w:szCs w:val="24"/>
                <w:lang w:val="es-MX"/>
              </w:rPr>
              <w:t>1</w:t>
            </w:r>
            <w:r w:rsidR="00B20326">
              <w:rPr>
                <w:rFonts w:ascii="Candara" w:hAnsi="Candara"/>
                <w:sz w:val="24"/>
                <w:szCs w:val="24"/>
                <w:lang w:val="es-MX"/>
              </w:rPr>
              <w:t>42.2</w:t>
            </w:r>
            <w:r w:rsidRPr="00714E28">
              <w:rPr>
                <w:rFonts w:ascii="Candara" w:hAnsi="Candara"/>
                <w:sz w:val="24"/>
                <w:szCs w:val="24"/>
                <w:lang w:val="es-MX"/>
              </w:rPr>
              <w:t xml:space="preserve"> millones</w:t>
            </w:r>
            <w:r>
              <w:rPr>
                <w:rFonts w:ascii="Candara" w:hAnsi="Candara"/>
                <w:sz w:val="24"/>
                <w:szCs w:val="24"/>
                <w:lang w:val="es-MX"/>
              </w:rPr>
              <w:t xml:space="preserve"> y </w:t>
            </w:r>
            <w:r w:rsidRPr="00714E28">
              <w:rPr>
                <w:rFonts w:ascii="Candara" w:hAnsi="Candara"/>
                <w:sz w:val="24"/>
                <w:szCs w:val="24"/>
                <w:lang w:val="es-MX"/>
              </w:rPr>
              <w:t>por Derechos Arancelarios a la Importación en $</w:t>
            </w:r>
            <w:r>
              <w:rPr>
                <w:rFonts w:ascii="Candara" w:hAnsi="Candara"/>
                <w:sz w:val="24"/>
                <w:szCs w:val="24"/>
                <w:lang w:val="es-MX"/>
              </w:rPr>
              <w:t>4</w:t>
            </w:r>
            <w:r w:rsidR="00B20326">
              <w:rPr>
                <w:rFonts w:ascii="Candara" w:hAnsi="Candara"/>
                <w:sz w:val="24"/>
                <w:szCs w:val="24"/>
                <w:lang w:val="es-MX"/>
              </w:rPr>
              <w:t>5.3</w:t>
            </w:r>
            <w:r w:rsidRPr="00714E28">
              <w:rPr>
                <w:rFonts w:ascii="Candara" w:hAnsi="Candara"/>
                <w:sz w:val="24"/>
                <w:szCs w:val="24"/>
                <w:lang w:val="es-MX"/>
              </w:rPr>
              <w:t xml:space="preserve"> millones. El coeficiente de carga tributaria alcanzó una tasa de </w:t>
            </w:r>
            <w:r>
              <w:rPr>
                <w:rFonts w:ascii="Candara" w:hAnsi="Candara"/>
                <w:sz w:val="24"/>
                <w:szCs w:val="24"/>
                <w:lang w:val="es-MX"/>
              </w:rPr>
              <w:t>1</w:t>
            </w:r>
            <w:r w:rsidR="00E03A23">
              <w:rPr>
                <w:rFonts w:ascii="Candara" w:hAnsi="Candara"/>
                <w:sz w:val="24"/>
                <w:szCs w:val="24"/>
                <w:lang w:val="es-MX"/>
              </w:rPr>
              <w:t>8.3</w:t>
            </w:r>
            <w:r w:rsidRPr="00714E28">
              <w:rPr>
                <w:rFonts w:ascii="Candara" w:hAnsi="Candara"/>
                <w:sz w:val="24"/>
                <w:szCs w:val="24"/>
                <w:lang w:val="es-MX"/>
              </w:rPr>
              <w:t>% del PIB, m</w:t>
            </w:r>
            <w:r w:rsidR="00E03A23">
              <w:rPr>
                <w:rFonts w:ascii="Candara" w:hAnsi="Candara"/>
                <w:sz w:val="24"/>
                <w:szCs w:val="24"/>
                <w:lang w:val="es-MX"/>
              </w:rPr>
              <w:t>ayor</w:t>
            </w:r>
            <w:r>
              <w:rPr>
                <w:rFonts w:ascii="Candara" w:hAnsi="Candara"/>
                <w:sz w:val="24"/>
                <w:szCs w:val="24"/>
                <w:lang w:val="es-MX"/>
              </w:rPr>
              <w:t xml:space="preserve"> </w:t>
            </w:r>
            <w:r w:rsidRPr="00714E28">
              <w:rPr>
                <w:rFonts w:ascii="Candara" w:hAnsi="Candara"/>
                <w:sz w:val="24"/>
                <w:szCs w:val="24"/>
                <w:lang w:val="es-MX"/>
              </w:rPr>
              <w:t>en 0.</w:t>
            </w:r>
            <w:r w:rsidR="00E03A23">
              <w:rPr>
                <w:rFonts w:ascii="Candara" w:hAnsi="Candara"/>
                <w:sz w:val="24"/>
                <w:szCs w:val="24"/>
                <w:lang w:val="es-MX"/>
              </w:rPr>
              <w:t>1</w:t>
            </w:r>
            <w:r w:rsidRPr="00714E28">
              <w:rPr>
                <w:rFonts w:ascii="Candara" w:hAnsi="Candara"/>
                <w:sz w:val="24"/>
                <w:szCs w:val="24"/>
                <w:lang w:val="es-MX"/>
              </w:rPr>
              <w:t xml:space="preserve"> puntos a la registrada en el mismo periodo del 2019.</w:t>
            </w:r>
          </w:p>
          <w:p w:rsidR="006B1211" w:rsidRPr="007F50E2" w:rsidRDefault="006B1211" w:rsidP="006B1211">
            <w:pPr>
              <w:ind w:left="284"/>
              <w:jc w:val="both"/>
              <w:rPr>
                <w:rFonts w:ascii="Candara" w:hAnsi="Candara"/>
                <w:sz w:val="24"/>
                <w:szCs w:val="24"/>
                <w:lang w:val="es-MX"/>
              </w:rPr>
            </w:pPr>
          </w:p>
          <w:p w:rsidR="006B1211" w:rsidRDefault="006B1211" w:rsidP="001D0083">
            <w:pPr>
              <w:pStyle w:val="ListParagraph"/>
              <w:numPr>
                <w:ilvl w:val="0"/>
                <w:numId w:val="17"/>
              </w:numPr>
              <w:jc w:val="both"/>
              <w:rPr>
                <w:rFonts w:ascii="Candara" w:hAnsi="Candara"/>
                <w:sz w:val="24"/>
                <w:szCs w:val="24"/>
                <w:lang w:val="es-MX"/>
              </w:rPr>
            </w:pPr>
            <w:r w:rsidRPr="002204C7">
              <w:rPr>
                <w:rFonts w:ascii="Candara" w:hAnsi="Candara"/>
                <w:sz w:val="24"/>
                <w:szCs w:val="24"/>
                <w:lang w:val="es-MX"/>
              </w:rPr>
              <w:t>En cuanto a los ingresos no tributarios estos alcanzaron un total de $</w:t>
            </w:r>
            <w:r w:rsidR="00E03A23">
              <w:rPr>
                <w:rFonts w:ascii="Candara" w:hAnsi="Candara"/>
                <w:sz w:val="24"/>
                <w:szCs w:val="24"/>
                <w:lang w:val="es-MX"/>
              </w:rPr>
              <w:t>90</w:t>
            </w:r>
            <w:r w:rsidR="00B20326">
              <w:rPr>
                <w:rFonts w:ascii="Candara" w:hAnsi="Candara"/>
                <w:sz w:val="24"/>
                <w:szCs w:val="24"/>
                <w:lang w:val="es-MX"/>
              </w:rPr>
              <w:t>2.9</w:t>
            </w:r>
            <w:r w:rsidRPr="002204C7">
              <w:rPr>
                <w:rFonts w:ascii="Candara" w:hAnsi="Candara"/>
                <w:sz w:val="24"/>
                <w:szCs w:val="24"/>
                <w:lang w:val="es-MX"/>
              </w:rPr>
              <w:t xml:space="preserve"> millones, $</w:t>
            </w:r>
            <w:r w:rsidR="00E03A23">
              <w:rPr>
                <w:rFonts w:ascii="Candara" w:hAnsi="Candara"/>
                <w:sz w:val="24"/>
                <w:szCs w:val="24"/>
                <w:lang w:val="es-MX"/>
              </w:rPr>
              <w:t>9</w:t>
            </w:r>
            <w:r w:rsidR="003B305D">
              <w:rPr>
                <w:rFonts w:ascii="Candara" w:hAnsi="Candara"/>
                <w:sz w:val="24"/>
                <w:szCs w:val="24"/>
                <w:lang w:val="es-MX"/>
              </w:rPr>
              <w:t>2.0</w:t>
            </w:r>
            <w:r w:rsidRPr="002204C7">
              <w:rPr>
                <w:rFonts w:ascii="Candara" w:hAnsi="Candara"/>
                <w:sz w:val="24"/>
                <w:szCs w:val="24"/>
                <w:lang w:val="es-MX"/>
              </w:rPr>
              <w:t xml:space="preserve"> millones m</w:t>
            </w:r>
            <w:r>
              <w:rPr>
                <w:rFonts w:ascii="Candara" w:hAnsi="Candara"/>
                <w:sz w:val="24"/>
                <w:szCs w:val="24"/>
                <w:lang w:val="es-MX"/>
              </w:rPr>
              <w:t xml:space="preserve">enos </w:t>
            </w:r>
            <w:r w:rsidRPr="002204C7">
              <w:rPr>
                <w:rFonts w:ascii="Candara" w:hAnsi="Candara"/>
                <w:sz w:val="24"/>
                <w:szCs w:val="24"/>
                <w:lang w:val="es-MX"/>
              </w:rPr>
              <w:t>de lo recaudado en el año anterior (</w:t>
            </w:r>
            <w:r w:rsidR="00D02B2E">
              <w:rPr>
                <w:rFonts w:ascii="Candara" w:hAnsi="Candara"/>
                <w:sz w:val="24"/>
                <w:szCs w:val="24"/>
                <w:lang w:val="es-MX"/>
              </w:rPr>
              <w:t>9.</w:t>
            </w:r>
            <w:r w:rsidR="00B20326">
              <w:rPr>
                <w:rFonts w:ascii="Candara" w:hAnsi="Candara"/>
                <w:sz w:val="24"/>
                <w:szCs w:val="24"/>
                <w:lang w:val="es-MX"/>
              </w:rPr>
              <w:t>3</w:t>
            </w:r>
            <w:r w:rsidRPr="002204C7">
              <w:rPr>
                <w:rFonts w:ascii="Candara" w:hAnsi="Candara"/>
                <w:sz w:val="24"/>
                <w:szCs w:val="24"/>
                <w:lang w:val="es-MX"/>
              </w:rPr>
              <w:t>%)</w:t>
            </w:r>
            <w:r w:rsidR="00CF28EA">
              <w:rPr>
                <w:rFonts w:ascii="Candara" w:hAnsi="Candara"/>
                <w:sz w:val="24"/>
                <w:szCs w:val="24"/>
                <w:lang w:val="es-MX"/>
              </w:rPr>
              <w:t>,</w:t>
            </w:r>
            <w:r w:rsidR="00CF28EA" w:rsidRPr="00DC55D7">
              <w:rPr>
                <w:rFonts w:ascii="Arial" w:hAnsi="Arial" w:cs="Arial"/>
                <w:i/>
                <w:iCs/>
                <w:sz w:val="22"/>
                <w:szCs w:val="22"/>
              </w:rPr>
              <w:t xml:space="preserve"> </w:t>
            </w:r>
            <w:r w:rsidR="00CF28EA" w:rsidRPr="00CF28EA">
              <w:rPr>
                <w:rFonts w:ascii="Candara" w:hAnsi="Candara"/>
                <w:sz w:val="24"/>
                <w:szCs w:val="24"/>
                <w:lang w:val="es-MX"/>
              </w:rPr>
              <w:t>siendo el sub sector</w:t>
            </w:r>
            <w:r w:rsidR="007F6714" w:rsidRPr="00CF28EA">
              <w:rPr>
                <w:rFonts w:ascii="Candara" w:hAnsi="Candara"/>
                <w:sz w:val="24"/>
                <w:szCs w:val="24"/>
                <w:lang w:val="es-MX"/>
              </w:rPr>
              <w:t xml:space="preserve"> Resto de Gobierno General</w:t>
            </w:r>
            <w:r w:rsidR="00CF28EA" w:rsidRPr="00CF28EA">
              <w:rPr>
                <w:rFonts w:ascii="Candara" w:hAnsi="Candara"/>
                <w:sz w:val="24"/>
                <w:szCs w:val="24"/>
                <w:lang w:val="es-MX"/>
              </w:rPr>
              <w:t xml:space="preserve"> que mayor </w:t>
            </w:r>
            <w:r w:rsidR="00CF28EA">
              <w:rPr>
                <w:rFonts w:ascii="Candara" w:hAnsi="Candara"/>
                <w:sz w:val="24"/>
                <w:szCs w:val="24"/>
                <w:lang w:val="es-MX"/>
              </w:rPr>
              <w:t>caída</w:t>
            </w:r>
            <w:r w:rsidR="00CF28EA" w:rsidRPr="00CF28EA">
              <w:rPr>
                <w:rFonts w:ascii="Candara" w:hAnsi="Candara"/>
                <w:sz w:val="24"/>
                <w:szCs w:val="24"/>
                <w:lang w:val="es-MX"/>
              </w:rPr>
              <w:t xml:space="preserve"> reporta en términos absolutos con $ 73.7 millones, resultado de la disminución de las Contribuciones a la Seguridad Social e Ingresos por venta de bienes y servicios en las municipalidades</w:t>
            </w:r>
            <w:r w:rsidR="005C5465">
              <w:rPr>
                <w:rFonts w:ascii="Candara" w:hAnsi="Candara"/>
                <w:sz w:val="24"/>
                <w:szCs w:val="24"/>
                <w:lang w:val="es-MX"/>
              </w:rPr>
              <w:t>;</w:t>
            </w:r>
            <w:r w:rsidR="00CF28EA" w:rsidRPr="00CF28EA">
              <w:rPr>
                <w:rFonts w:ascii="Candara" w:hAnsi="Candara"/>
                <w:sz w:val="24"/>
                <w:szCs w:val="24"/>
                <w:lang w:val="es-MX"/>
              </w:rPr>
              <w:t xml:space="preserve"> el Gobierno Central registró un descenso de $1</w:t>
            </w:r>
            <w:r w:rsidR="00B20326">
              <w:rPr>
                <w:rFonts w:ascii="Candara" w:hAnsi="Candara"/>
                <w:sz w:val="24"/>
                <w:szCs w:val="24"/>
                <w:lang w:val="es-MX"/>
              </w:rPr>
              <w:t>1.4</w:t>
            </w:r>
            <w:r w:rsidR="00CF28EA" w:rsidRPr="00CF28EA">
              <w:rPr>
                <w:rFonts w:ascii="Candara" w:hAnsi="Candara"/>
                <w:sz w:val="24"/>
                <w:szCs w:val="24"/>
                <w:lang w:val="es-MX"/>
              </w:rPr>
              <w:t xml:space="preserve"> millones.</w:t>
            </w:r>
          </w:p>
          <w:p w:rsidR="00CF28EA" w:rsidRPr="00CF28EA" w:rsidRDefault="00CF28EA" w:rsidP="00CF28EA">
            <w:pPr>
              <w:pStyle w:val="ListParagraph"/>
              <w:rPr>
                <w:rFonts w:ascii="Candara" w:hAnsi="Candara"/>
                <w:sz w:val="24"/>
                <w:szCs w:val="24"/>
                <w:lang w:val="es-MX"/>
              </w:rPr>
            </w:pPr>
          </w:p>
          <w:p w:rsidR="006B1211" w:rsidRPr="007F50E2" w:rsidRDefault="006B1211" w:rsidP="006B1211">
            <w:pPr>
              <w:ind w:left="284"/>
              <w:jc w:val="both"/>
              <w:rPr>
                <w:rFonts w:ascii="Candara" w:hAnsi="Candara"/>
                <w:sz w:val="24"/>
                <w:szCs w:val="24"/>
                <w:lang w:val="es-MX"/>
              </w:rPr>
            </w:pPr>
          </w:p>
          <w:p w:rsidR="006B1211" w:rsidRPr="004870F6" w:rsidRDefault="006B1211" w:rsidP="001D0083">
            <w:pPr>
              <w:pStyle w:val="ListParagraph"/>
              <w:numPr>
                <w:ilvl w:val="0"/>
                <w:numId w:val="17"/>
              </w:numPr>
              <w:jc w:val="both"/>
              <w:rPr>
                <w:rFonts w:ascii="Candara" w:hAnsi="Candara"/>
                <w:sz w:val="24"/>
                <w:szCs w:val="24"/>
                <w:lang w:val="es-MX"/>
              </w:rPr>
            </w:pPr>
            <w:r w:rsidRPr="004870F6">
              <w:rPr>
                <w:rFonts w:ascii="Candara" w:hAnsi="Candara"/>
                <w:sz w:val="24"/>
                <w:szCs w:val="24"/>
                <w:lang w:val="es-MX"/>
              </w:rPr>
              <w:t>Por su parte, los gastos y concesión neta de préstamos del SPNF totalizaron $</w:t>
            </w:r>
            <w:r w:rsidR="00D02B2E">
              <w:rPr>
                <w:rFonts w:ascii="Candara" w:hAnsi="Candara"/>
                <w:sz w:val="24"/>
                <w:szCs w:val="24"/>
                <w:lang w:val="es-MX"/>
              </w:rPr>
              <w:t>7,935.8</w:t>
            </w:r>
            <w:r w:rsidRPr="004870F6">
              <w:rPr>
                <w:rFonts w:ascii="Candara" w:hAnsi="Candara"/>
                <w:sz w:val="24"/>
                <w:szCs w:val="24"/>
                <w:lang w:val="es-MX"/>
              </w:rPr>
              <w:t xml:space="preserve"> millones, registrando un incremento de </w:t>
            </w:r>
            <w:r w:rsidR="00D02B2E">
              <w:rPr>
                <w:rFonts w:ascii="Candara" w:hAnsi="Candara"/>
                <w:sz w:val="24"/>
                <w:szCs w:val="24"/>
                <w:lang w:val="es-MX"/>
              </w:rPr>
              <w:t>19.9</w:t>
            </w:r>
            <w:r w:rsidRPr="004870F6">
              <w:rPr>
                <w:rFonts w:ascii="Candara" w:hAnsi="Candara"/>
                <w:sz w:val="24"/>
                <w:szCs w:val="24"/>
                <w:lang w:val="es-MX"/>
              </w:rPr>
              <w:t xml:space="preserve">% respecto a </w:t>
            </w:r>
            <w:r w:rsidR="006854AC">
              <w:rPr>
                <w:rFonts w:ascii="Candara" w:hAnsi="Candara"/>
                <w:sz w:val="24"/>
                <w:szCs w:val="24"/>
                <w:lang w:val="es-MX"/>
              </w:rPr>
              <w:t>diciembre</w:t>
            </w:r>
            <w:r w:rsidRPr="004870F6">
              <w:rPr>
                <w:rFonts w:ascii="Candara" w:hAnsi="Candara"/>
                <w:sz w:val="24"/>
                <w:szCs w:val="24"/>
                <w:lang w:val="es-MX"/>
              </w:rPr>
              <w:t xml:space="preserve"> de 2019. El gasto del SPNF fue equivalente al </w:t>
            </w:r>
            <w:r w:rsidR="00D02B2E">
              <w:rPr>
                <w:rFonts w:ascii="Candara" w:hAnsi="Candara"/>
                <w:sz w:val="24"/>
                <w:szCs w:val="24"/>
                <w:lang w:val="es-MX"/>
              </w:rPr>
              <w:t>31.4</w:t>
            </w:r>
            <w:r w:rsidRPr="004870F6">
              <w:rPr>
                <w:rFonts w:ascii="Candara" w:hAnsi="Candara"/>
                <w:sz w:val="24"/>
                <w:szCs w:val="24"/>
                <w:lang w:val="es-MX"/>
              </w:rPr>
              <w:t xml:space="preserve">% del PIB, resultando mayor en </w:t>
            </w:r>
            <w:r w:rsidR="00D02B2E">
              <w:rPr>
                <w:rFonts w:ascii="Candara" w:hAnsi="Candara"/>
                <w:sz w:val="24"/>
                <w:szCs w:val="24"/>
                <w:lang w:val="es-MX"/>
              </w:rPr>
              <w:t>6.9</w:t>
            </w:r>
            <w:r w:rsidRPr="004870F6">
              <w:rPr>
                <w:rFonts w:ascii="Candara" w:hAnsi="Candara"/>
                <w:sz w:val="24"/>
                <w:szCs w:val="24"/>
                <w:lang w:val="es-MX"/>
              </w:rPr>
              <w:t xml:space="preserve"> puntos porcentuales </w:t>
            </w:r>
            <w:r w:rsidR="005C5465">
              <w:rPr>
                <w:rFonts w:ascii="Candara" w:hAnsi="Candara"/>
                <w:sz w:val="24"/>
                <w:szCs w:val="24"/>
                <w:lang w:val="es-MX"/>
              </w:rPr>
              <w:t xml:space="preserve">al </w:t>
            </w:r>
            <w:r w:rsidRPr="004870F6">
              <w:rPr>
                <w:rFonts w:ascii="Candara" w:hAnsi="Candara"/>
                <w:sz w:val="24"/>
                <w:szCs w:val="24"/>
                <w:lang w:val="es-MX"/>
              </w:rPr>
              <w:t>compara</w:t>
            </w:r>
            <w:r w:rsidR="005C5465">
              <w:rPr>
                <w:rFonts w:ascii="Candara" w:hAnsi="Candara"/>
                <w:sz w:val="24"/>
                <w:szCs w:val="24"/>
                <w:lang w:val="es-MX"/>
              </w:rPr>
              <w:t>rlo</w:t>
            </w:r>
            <w:r w:rsidRPr="004870F6">
              <w:rPr>
                <w:rFonts w:ascii="Candara" w:hAnsi="Candara"/>
                <w:sz w:val="24"/>
                <w:szCs w:val="24"/>
                <w:lang w:val="es-MX"/>
              </w:rPr>
              <w:t xml:space="preserve"> con el mismo periodo de 2019.  </w:t>
            </w:r>
            <w:r>
              <w:rPr>
                <w:rFonts w:ascii="Candara" w:hAnsi="Candara"/>
                <w:sz w:val="24"/>
                <w:szCs w:val="24"/>
                <w:lang w:val="es-MX"/>
              </w:rPr>
              <w:t xml:space="preserve">Cabe mencionar que </w:t>
            </w:r>
            <w:r>
              <w:rPr>
                <w:rFonts w:ascii="Candara" w:hAnsi="Candara"/>
                <w:sz w:val="24"/>
                <w:szCs w:val="24"/>
                <w:lang w:val="es-MX"/>
              </w:rPr>
              <w:lastRenderedPageBreak/>
              <w:t>este incremento, estuvo influenciado por la atención inmediata al Estado de Emergencia Nacional decretada el 21 de marzo del 2020 y que implicó traslado de erogaciones de gastos para las medidas de alivio a la población</w:t>
            </w:r>
            <w:r w:rsidR="005377EC">
              <w:rPr>
                <w:rFonts w:ascii="Candara" w:hAnsi="Candara"/>
                <w:sz w:val="24"/>
                <w:szCs w:val="24"/>
                <w:lang w:val="es-MX"/>
              </w:rPr>
              <w:t>;</w:t>
            </w:r>
            <w:r>
              <w:rPr>
                <w:rFonts w:ascii="Candara" w:hAnsi="Candara"/>
                <w:sz w:val="24"/>
                <w:szCs w:val="24"/>
                <w:lang w:val="es-MX"/>
              </w:rPr>
              <w:t xml:space="preserve"> las mejoras en el sistema de salud</w:t>
            </w:r>
            <w:r w:rsidR="005377EC">
              <w:rPr>
                <w:rFonts w:ascii="Candara" w:hAnsi="Candara"/>
                <w:sz w:val="24"/>
                <w:szCs w:val="24"/>
                <w:lang w:val="es-MX"/>
              </w:rPr>
              <w:t xml:space="preserve"> y</w:t>
            </w:r>
            <w:r w:rsidR="005377EC" w:rsidRPr="00BF1E54">
              <w:rPr>
                <w:rFonts w:ascii="Candara" w:hAnsi="Candara" w:cs="Arial"/>
                <w:iCs/>
                <w:sz w:val="24"/>
                <w:szCs w:val="24"/>
                <w:lang w:val="es-MX"/>
              </w:rPr>
              <w:t xml:space="preserve"> por l</w:t>
            </w:r>
            <w:r w:rsidR="005377EC">
              <w:rPr>
                <w:rFonts w:ascii="Candara" w:hAnsi="Candara" w:cs="Arial"/>
                <w:iCs/>
                <w:sz w:val="24"/>
                <w:szCs w:val="24"/>
                <w:lang w:val="es-MX"/>
              </w:rPr>
              <w:t>o</w:t>
            </w:r>
            <w:r w:rsidR="005377EC" w:rsidRPr="00BF1E54">
              <w:rPr>
                <w:rFonts w:ascii="Candara" w:hAnsi="Candara" w:cs="Arial"/>
                <w:iCs/>
                <w:sz w:val="24"/>
                <w:szCs w:val="24"/>
                <w:lang w:val="es-MX"/>
              </w:rPr>
              <w:t xml:space="preserve">s </w:t>
            </w:r>
            <w:r w:rsidR="005377EC">
              <w:rPr>
                <w:rFonts w:ascii="Candara" w:hAnsi="Candara" w:cs="Arial"/>
                <w:iCs/>
                <w:sz w:val="24"/>
                <w:szCs w:val="24"/>
                <w:lang w:val="es-MX"/>
              </w:rPr>
              <w:t xml:space="preserve">daños y pérdidas causados por las </w:t>
            </w:r>
            <w:r w:rsidR="005377EC" w:rsidRPr="00BF1E54">
              <w:rPr>
                <w:rFonts w:ascii="Candara" w:hAnsi="Candara" w:cs="Arial"/>
                <w:iCs/>
                <w:sz w:val="24"/>
                <w:szCs w:val="24"/>
                <w:lang w:val="es-MX"/>
              </w:rPr>
              <w:t>depresiones tropicales “Amanda” y “Cristóbal”.</w:t>
            </w:r>
          </w:p>
          <w:p w:rsidR="006B1211" w:rsidRPr="007F50E2" w:rsidRDefault="006B1211" w:rsidP="006B1211">
            <w:pPr>
              <w:ind w:left="284"/>
              <w:jc w:val="both"/>
              <w:rPr>
                <w:rFonts w:ascii="Candara" w:hAnsi="Candara"/>
                <w:sz w:val="24"/>
                <w:szCs w:val="24"/>
                <w:lang w:val="es-MX"/>
              </w:rPr>
            </w:pPr>
          </w:p>
          <w:p w:rsidR="006B1211" w:rsidRPr="00227E46" w:rsidRDefault="006B1211" w:rsidP="001D0083">
            <w:pPr>
              <w:pStyle w:val="ListParagraph"/>
              <w:numPr>
                <w:ilvl w:val="0"/>
                <w:numId w:val="17"/>
              </w:numPr>
              <w:jc w:val="both"/>
              <w:rPr>
                <w:rFonts w:ascii="Candara" w:hAnsi="Candara"/>
                <w:sz w:val="24"/>
                <w:szCs w:val="24"/>
                <w:lang w:val="es-MX"/>
              </w:rPr>
            </w:pPr>
            <w:r w:rsidRPr="00227E46">
              <w:rPr>
                <w:rFonts w:ascii="Candara" w:hAnsi="Candara"/>
                <w:sz w:val="24"/>
                <w:szCs w:val="24"/>
                <w:lang w:val="es-MX"/>
              </w:rPr>
              <w:t>Los gastos corrientes registraron $</w:t>
            </w:r>
            <w:r w:rsidR="00D02B2E">
              <w:rPr>
                <w:rFonts w:ascii="Candara" w:hAnsi="Candara"/>
                <w:sz w:val="24"/>
                <w:szCs w:val="24"/>
                <w:lang w:val="es-MX"/>
              </w:rPr>
              <w:t>6,787.7</w:t>
            </w:r>
            <w:r w:rsidRPr="00227E46">
              <w:rPr>
                <w:rFonts w:ascii="Candara" w:hAnsi="Candara"/>
                <w:sz w:val="24"/>
                <w:szCs w:val="24"/>
                <w:lang w:val="es-MX"/>
              </w:rPr>
              <w:t xml:space="preserve"> millones, resultando $</w:t>
            </w:r>
            <w:r>
              <w:rPr>
                <w:rFonts w:ascii="Candara" w:hAnsi="Candara"/>
                <w:sz w:val="24"/>
                <w:szCs w:val="24"/>
                <w:lang w:val="es-MX"/>
              </w:rPr>
              <w:t>1,</w:t>
            </w:r>
            <w:r w:rsidR="00D02B2E">
              <w:rPr>
                <w:rFonts w:ascii="Candara" w:hAnsi="Candara"/>
                <w:sz w:val="24"/>
                <w:szCs w:val="24"/>
                <w:lang w:val="es-MX"/>
              </w:rPr>
              <w:t>026.1</w:t>
            </w:r>
            <w:r w:rsidRPr="00227E46">
              <w:rPr>
                <w:rFonts w:ascii="Candara" w:hAnsi="Candara"/>
                <w:sz w:val="24"/>
                <w:szCs w:val="24"/>
                <w:lang w:val="es-MX"/>
              </w:rPr>
              <w:t xml:space="preserve"> millones (</w:t>
            </w:r>
            <w:r w:rsidR="00D02B2E">
              <w:rPr>
                <w:rFonts w:ascii="Candara" w:hAnsi="Candara"/>
                <w:sz w:val="24"/>
                <w:szCs w:val="24"/>
                <w:lang w:val="es-MX"/>
              </w:rPr>
              <w:t>17.8</w:t>
            </w:r>
            <w:r w:rsidRPr="00227E46">
              <w:rPr>
                <w:rFonts w:ascii="Candara" w:hAnsi="Candara"/>
                <w:sz w:val="24"/>
                <w:szCs w:val="24"/>
                <w:lang w:val="es-MX"/>
              </w:rPr>
              <w:t>%), más con respecto al mismo período del año anterior, debido a incrementos en todos los rubros que los conforman.</w:t>
            </w:r>
          </w:p>
          <w:p w:rsidR="006B1211" w:rsidRPr="007F50E2" w:rsidRDefault="006B1211" w:rsidP="006B1211">
            <w:pPr>
              <w:ind w:left="284"/>
              <w:jc w:val="both"/>
              <w:rPr>
                <w:rFonts w:ascii="Candara" w:hAnsi="Candara"/>
                <w:sz w:val="24"/>
                <w:szCs w:val="24"/>
                <w:lang w:val="es-MX"/>
              </w:rPr>
            </w:pPr>
          </w:p>
          <w:p w:rsidR="005A4EF5" w:rsidRPr="005A4EF5" w:rsidRDefault="006B1211" w:rsidP="001D0083">
            <w:pPr>
              <w:pStyle w:val="ListParagraph"/>
              <w:numPr>
                <w:ilvl w:val="0"/>
                <w:numId w:val="17"/>
              </w:numPr>
              <w:jc w:val="both"/>
              <w:rPr>
                <w:rFonts w:ascii="Candara" w:hAnsi="Candara"/>
                <w:sz w:val="24"/>
                <w:szCs w:val="24"/>
                <w:lang w:val="es-SV"/>
              </w:rPr>
            </w:pPr>
            <w:r w:rsidRPr="006D6BC3">
              <w:rPr>
                <w:rFonts w:ascii="Candara" w:hAnsi="Candara"/>
                <w:sz w:val="24"/>
                <w:szCs w:val="24"/>
                <w:lang w:val="es-MX"/>
              </w:rPr>
              <w:t>El gasto de capital, alcanzó un monto de $</w:t>
            </w:r>
            <w:r w:rsidR="00D02B2E">
              <w:rPr>
                <w:rFonts w:ascii="Candara" w:hAnsi="Candara"/>
                <w:sz w:val="24"/>
                <w:szCs w:val="24"/>
                <w:lang w:val="es-MX"/>
              </w:rPr>
              <w:t>688.1</w:t>
            </w:r>
            <w:r w:rsidRPr="006D6BC3">
              <w:rPr>
                <w:rFonts w:ascii="Candara" w:hAnsi="Candara"/>
                <w:sz w:val="24"/>
                <w:szCs w:val="24"/>
                <w:lang w:val="es-MX"/>
              </w:rPr>
              <w:t xml:space="preserve"> millones, registrando una reducción de </w:t>
            </w:r>
            <w:r w:rsidR="00D02B2E">
              <w:rPr>
                <w:rFonts w:ascii="Candara" w:hAnsi="Candara"/>
                <w:sz w:val="24"/>
                <w:szCs w:val="24"/>
                <w:lang w:val="es-MX"/>
              </w:rPr>
              <w:t>19.9</w:t>
            </w:r>
            <w:r w:rsidRPr="006D6BC3">
              <w:rPr>
                <w:rFonts w:ascii="Candara" w:hAnsi="Candara"/>
                <w:sz w:val="24"/>
                <w:szCs w:val="24"/>
                <w:lang w:val="es-MX"/>
              </w:rPr>
              <w:t>% equivalente a $1</w:t>
            </w:r>
            <w:r w:rsidR="00D02B2E">
              <w:rPr>
                <w:rFonts w:ascii="Candara" w:hAnsi="Candara"/>
                <w:sz w:val="24"/>
                <w:szCs w:val="24"/>
                <w:lang w:val="es-MX"/>
              </w:rPr>
              <w:t>71.1</w:t>
            </w:r>
            <w:r w:rsidRPr="006D6BC3">
              <w:rPr>
                <w:rFonts w:ascii="Candara" w:hAnsi="Candara"/>
                <w:sz w:val="24"/>
                <w:szCs w:val="24"/>
                <w:lang w:val="es-MX"/>
              </w:rPr>
              <w:t xml:space="preserve"> millones</w:t>
            </w:r>
            <w:r w:rsidR="005A4EF5">
              <w:rPr>
                <w:rFonts w:ascii="Candara" w:hAnsi="Candara"/>
                <w:sz w:val="24"/>
                <w:szCs w:val="24"/>
                <w:lang w:val="es-MX"/>
              </w:rPr>
              <w:t xml:space="preserve"> con respecto al mismo período del año anterior</w:t>
            </w:r>
            <w:r w:rsidRPr="006D6BC3">
              <w:rPr>
                <w:rFonts w:ascii="Candara" w:hAnsi="Candara"/>
                <w:sz w:val="24"/>
                <w:szCs w:val="24"/>
                <w:lang w:val="es-MX"/>
              </w:rPr>
              <w:t>, como resultado básicamente por la reducción del nivel de ejecución de la inversión pública en $1</w:t>
            </w:r>
            <w:r w:rsidR="00D02B2E">
              <w:rPr>
                <w:rFonts w:ascii="Candara" w:hAnsi="Candara"/>
                <w:sz w:val="24"/>
                <w:szCs w:val="24"/>
                <w:lang w:val="es-MX"/>
              </w:rPr>
              <w:t>61.5</w:t>
            </w:r>
            <w:r w:rsidRPr="006D6BC3">
              <w:rPr>
                <w:rFonts w:ascii="Candara" w:hAnsi="Candara"/>
                <w:sz w:val="24"/>
                <w:szCs w:val="24"/>
                <w:lang w:val="es-MX"/>
              </w:rPr>
              <w:t xml:space="preserve"> millones</w:t>
            </w:r>
            <w:r w:rsidR="005C5465">
              <w:rPr>
                <w:rFonts w:ascii="Candara" w:hAnsi="Candara"/>
                <w:sz w:val="24"/>
                <w:szCs w:val="24"/>
                <w:lang w:val="es-MX"/>
              </w:rPr>
              <w:t xml:space="preserve"> (</w:t>
            </w:r>
            <w:r w:rsidR="005C5465" w:rsidRPr="006D6BC3">
              <w:rPr>
                <w:rFonts w:ascii="Candara" w:hAnsi="Candara"/>
                <w:sz w:val="24"/>
                <w:szCs w:val="24"/>
                <w:lang w:val="es-MX"/>
              </w:rPr>
              <w:t>2</w:t>
            </w:r>
            <w:r w:rsidR="005C5465">
              <w:rPr>
                <w:rFonts w:ascii="Candara" w:hAnsi="Candara"/>
                <w:sz w:val="24"/>
                <w:szCs w:val="24"/>
                <w:lang w:val="es-MX"/>
              </w:rPr>
              <w:t>0.2</w:t>
            </w:r>
            <w:r w:rsidR="005C5465" w:rsidRPr="006D6BC3">
              <w:rPr>
                <w:rFonts w:ascii="Candara" w:hAnsi="Candara"/>
                <w:sz w:val="24"/>
                <w:szCs w:val="24"/>
                <w:lang w:val="es-MX"/>
              </w:rPr>
              <w:t>%</w:t>
            </w:r>
            <w:r w:rsidR="005C5465">
              <w:rPr>
                <w:rFonts w:ascii="Candara" w:hAnsi="Candara"/>
                <w:sz w:val="24"/>
                <w:szCs w:val="24"/>
                <w:lang w:val="es-MX"/>
              </w:rPr>
              <w:t>),</w:t>
            </w:r>
            <w:r w:rsidR="005C5465" w:rsidRPr="006D6BC3">
              <w:rPr>
                <w:rFonts w:ascii="Candara" w:hAnsi="Candara"/>
                <w:sz w:val="24"/>
                <w:szCs w:val="24"/>
                <w:lang w:val="es-MX"/>
              </w:rPr>
              <w:t xml:space="preserve"> por la reorientación de recursos hacia los gastos relacionados con la atención de la emergencia nacional por la Pandemia COVID -19</w:t>
            </w:r>
            <w:r w:rsidRPr="006D6BC3">
              <w:rPr>
                <w:rFonts w:ascii="Candara" w:hAnsi="Candara"/>
                <w:sz w:val="24"/>
                <w:szCs w:val="24"/>
                <w:lang w:val="es-MX"/>
              </w:rPr>
              <w:t xml:space="preserve">. </w:t>
            </w:r>
            <w:r w:rsidR="005C5465">
              <w:rPr>
                <w:rFonts w:ascii="Candara" w:hAnsi="Candara"/>
                <w:sz w:val="24"/>
                <w:szCs w:val="24"/>
                <w:lang w:val="es-MX"/>
              </w:rPr>
              <w:t>En términos absolutos</w:t>
            </w:r>
            <w:r w:rsidR="00DD4E3C">
              <w:rPr>
                <w:rFonts w:ascii="Candara" w:hAnsi="Candara"/>
                <w:sz w:val="24"/>
                <w:szCs w:val="24"/>
                <w:lang w:val="es-MX"/>
              </w:rPr>
              <w:t xml:space="preserve"> la inversión</w:t>
            </w:r>
            <w:r w:rsidR="005C5465">
              <w:rPr>
                <w:rFonts w:ascii="Candara" w:hAnsi="Candara"/>
                <w:sz w:val="24"/>
                <w:szCs w:val="24"/>
                <w:lang w:val="es-MX"/>
              </w:rPr>
              <w:t xml:space="preserve"> registró</w:t>
            </w:r>
            <w:r w:rsidR="00DD4E3C">
              <w:rPr>
                <w:rFonts w:ascii="Candara" w:hAnsi="Candara"/>
                <w:sz w:val="24"/>
                <w:szCs w:val="24"/>
                <w:lang w:val="es-MX"/>
              </w:rPr>
              <w:t xml:space="preserve"> un monto de</w:t>
            </w:r>
            <w:r w:rsidRPr="006D6BC3">
              <w:rPr>
                <w:rFonts w:ascii="Candara" w:hAnsi="Candara"/>
                <w:sz w:val="24"/>
                <w:szCs w:val="24"/>
                <w:lang w:val="es-MX"/>
              </w:rPr>
              <w:t xml:space="preserve"> $</w:t>
            </w:r>
            <w:r w:rsidR="00D02B2E">
              <w:rPr>
                <w:rFonts w:ascii="Candara" w:hAnsi="Candara"/>
                <w:sz w:val="24"/>
                <w:szCs w:val="24"/>
                <w:lang w:val="es-MX"/>
              </w:rPr>
              <w:t>636.8</w:t>
            </w:r>
            <w:r w:rsidRPr="006D6BC3">
              <w:rPr>
                <w:rFonts w:ascii="Candara" w:hAnsi="Candara"/>
                <w:sz w:val="24"/>
                <w:szCs w:val="24"/>
                <w:lang w:val="es-MX"/>
              </w:rPr>
              <w:t xml:space="preserve"> millones, equivalente a un nivel de </w:t>
            </w:r>
            <w:r w:rsidR="00D02B2E">
              <w:rPr>
                <w:rFonts w:ascii="Candara" w:hAnsi="Candara"/>
                <w:sz w:val="24"/>
                <w:szCs w:val="24"/>
                <w:lang w:val="es-MX"/>
              </w:rPr>
              <w:t>2.5</w:t>
            </w:r>
            <w:r w:rsidRPr="006D6BC3">
              <w:rPr>
                <w:rFonts w:ascii="Candara" w:hAnsi="Candara"/>
                <w:sz w:val="24"/>
                <w:szCs w:val="24"/>
                <w:lang w:val="es-MX"/>
              </w:rPr>
              <w:t>% del PIB</w:t>
            </w:r>
            <w:r w:rsidR="003E28F3">
              <w:rPr>
                <w:rFonts w:ascii="Candara" w:hAnsi="Candara"/>
                <w:sz w:val="24"/>
                <w:szCs w:val="24"/>
                <w:lang w:val="es-MX"/>
              </w:rPr>
              <w:t>. Por</w:t>
            </w:r>
            <w:r w:rsidR="00CF28EA">
              <w:rPr>
                <w:rFonts w:ascii="Candara" w:hAnsi="Candara"/>
                <w:sz w:val="24"/>
                <w:szCs w:val="24"/>
                <w:lang w:val="es-MX"/>
              </w:rPr>
              <w:t xml:space="preserve"> su parte, las </w:t>
            </w:r>
            <w:r w:rsidR="00741185">
              <w:rPr>
                <w:rFonts w:ascii="Candara" w:hAnsi="Candara"/>
                <w:sz w:val="24"/>
                <w:szCs w:val="24"/>
                <w:lang w:val="es-MX"/>
              </w:rPr>
              <w:t>t</w:t>
            </w:r>
            <w:r w:rsidR="00CF28EA">
              <w:rPr>
                <w:rFonts w:ascii="Candara" w:hAnsi="Candara"/>
                <w:sz w:val="24"/>
                <w:szCs w:val="24"/>
                <w:lang w:val="es-MX"/>
              </w:rPr>
              <w:t xml:space="preserve">ransferencias de capital se redujeron en </w:t>
            </w:r>
            <w:r w:rsidR="00741185">
              <w:rPr>
                <w:rFonts w:ascii="Candara" w:hAnsi="Candara"/>
                <w:sz w:val="24"/>
                <w:szCs w:val="24"/>
                <w:lang w:val="es-MX"/>
              </w:rPr>
              <w:t>$9.5 millones, equivalentes a 15.6%.</w:t>
            </w:r>
          </w:p>
          <w:p w:rsidR="005A4EF5" w:rsidRPr="005A4EF5" w:rsidRDefault="005A4EF5" w:rsidP="005A4EF5">
            <w:pPr>
              <w:pStyle w:val="ListParagraph"/>
              <w:rPr>
                <w:rFonts w:ascii="Candara" w:hAnsi="Candara"/>
                <w:sz w:val="24"/>
                <w:szCs w:val="24"/>
                <w:lang w:val="es-MX"/>
              </w:rPr>
            </w:pPr>
          </w:p>
          <w:p w:rsidR="006B1211" w:rsidRPr="001A37E6" w:rsidRDefault="006B1211" w:rsidP="001D0083">
            <w:pPr>
              <w:pStyle w:val="ListParagraph"/>
              <w:numPr>
                <w:ilvl w:val="0"/>
                <w:numId w:val="17"/>
              </w:numPr>
              <w:jc w:val="both"/>
              <w:rPr>
                <w:rFonts w:ascii="Candara" w:hAnsi="Candara"/>
                <w:sz w:val="24"/>
                <w:szCs w:val="24"/>
                <w:lang w:val="es-MX"/>
              </w:rPr>
            </w:pPr>
            <w:r w:rsidRPr="001A37E6">
              <w:rPr>
                <w:rFonts w:ascii="Candara" w:hAnsi="Candara"/>
                <w:sz w:val="24"/>
                <w:szCs w:val="24"/>
                <w:lang w:val="es-MX"/>
              </w:rPr>
              <w:t xml:space="preserve">El saldo de la deuda total del SPNF a </w:t>
            </w:r>
            <w:r w:rsidR="006854AC">
              <w:rPr>
                <w:rFonts w:ascii="Candara" w:hAnsi="Candara"/>
                <w:sz w:val="24"/>
                <w:szCs w:val="24"/>
                <w:lang w:val="es-MX"/>
              </w:rPr>
              <w:t>diciembre</w:t>
            </w:r>
            <w:r w:rsidRPr="001A37E6">
              <w:rPr>
                <w:rFonts w:ascii="Candara" w:hAnsi="Candara"/>
                <w:sz w:val="24"/>
                <w:szCs w:val="24"/>
                <w:lang w:val="es-MX"/>
              </w:rPr>
              <w:t xml:space="preserve"> 2020</w:t>
            </w:r>
            <w:r>
              <w:rPr>
                <w:rFonts w:ascii="Candara" w:hAnsi="Candara"/>
                <w:sz w:val="24"/>
                <w:szCs w:val="24"/>
                <w:lang w:val="es-MX"/>
              </w:rPr>
              <w:t xml:space="preserve"> sin pensiones</w:t>
            </w:r>
            <w:r w:rsidRPr="001A37E6">
              <w:rPr>
                <w:rFonts w:ascii="Candara" w:hAnsi="Candara"/>
                <w:sz w:val="24"/>
                <w:szCs w:val="24"/>
                <w:lang w:val="es-MX"/>
              </w:rPr>
              <w:t xml:space="preserve"> registró un monto de $1</w:t>
            </w:r>
            <w:r>
              <w:rPr>
                <w:rFonts w:ascii="Candara" w:hAnsi="Candara"/>
                <w:sz w:val="24"/>
                <w:szCs w:val="24"/>
                <w:lang w:val="es-MX"/>
              </w:rPr>
              <w:t>6,</w:t>
            </w:r>
            <w:r w:rsidR="00D02B2E">
              <w:rPr>
                <w:rFonts w:ascii="Candara" w:hAnsi="Candara"/>
                <w:sz w:val="24"/>
                <w:szCs w:val="24"/>
                <w:lang w:val="es-MX"/>
              </w:rPr>
              <w:t>096.0</w:t>
            </w:r>
            <w:r w:rsidRPr="001A37E6">
              <w:rPr>
                <w:rFonts w:ascii="Candara" w:hAnsi="Candara"/>
                <w:sz w:val="24"/>
                <w:szCs w:val="24"/>
                <w:lang w:val="es-MX"/>
              </w:rPr>
              <w:t xml:space="preserve"> millones, equivalentes a </w:t>
            </w:r>
            <w:r>
              <w:rPr>
                <w:rFonts w:ascii="Candara" w:hAnsi="Candara"/>
                <w:sz w:val="24"/>
                <w:szCs w:val="24"/>
                <w:lang w:val="es-MX"/>
              </w:rPr>
              <w:t>6</w:t>
            </w:r>
            <w:r w:rsidR="00D02B2E">
              <w:rPr>
                <w:rFonts w:ascii="Candara" w:hAnsi="Candara"/>
                <w:sz w:val="24"/>
                <w:szCs w:val="24"/>
                <w:lang w:val="es-MX"/>
              </w:rPr>
              <w:t>3.8</w:t>
            </w:r>
            <w:r w:rsidRPr="001A37E6">
              <w:rPr>
                <w:rFonts w:ascii="Candara" w:hAnsi="Candara"/>
                <w:sz w:val="24"/>
                <w:szCs w:val="24"/>
                <w:lang w:val="es-MX"/>
              </w:rPr>
              <w:t>% del PIB. Al incluir las emisiones del FOP (CIP serie A), por $5,</w:t>
            </w:r>
            <w:r w:rsidR="00D02B2E">
              <w:rPr>
                <w:rFonts w:ascii="Candara" w:hAnsi="Candara"/>
                <w:sz w:val="24"/>
                <w:szCs w:val="24"/>
                <w:lang w:val="es-MX"/>
              </w:rPr>
              <w:t>555.9</w:t>
            </w:r>
            <w:r w:rsidRPr="001A37E6">
              <w:rPr>
                <w:rFonts w:ascii="Candara" w:hAnsi="Candara"/>
                <w:sz w:val="24"/>
                <w:szCs w:val="24"/>
                <w:lang w:val="es-MX"/>
              </w:rPr>
              <w:t xml:space="preserve"> millones, la deuda asciende a $2</w:t>
            </w:r>
            <w:r>
              <w:rPr>
                <w:rFonts w:ascii="Candara" w:hAnsi="Candara"/>
                <w:sz w:val="24"/>
                <w:szCs w:val="24"/>
                <w:lang w:val="es-MX"/>
              </w:rPr>
              <w:t>1,6</w:t>
            </w:r>
            <w:r w:rsidR="00D02B2E">
              <w:rPr>
                <w:rFonts w:ascii="Candara" w:hAnsi="Candara"/>
                <w:sz w:val="24"/>
                <w:szCs w:val="24"/>
                <w:lang w:val="es-MX"/>
              </w:rPr>
              <w:t>51.9</w:t>
            </w:r>
            <w:r w:rsidRPr="001A37E6">
              <w:rPr>
                <w:rFonts w:ascii="Candara" w:hAnsi="Candara"/>
                <w:sz w:val="24"/>
                <w:szCs w:val="24"/>
                <w:lang w:val="es-MX"/>
              </w:rPr>
              <w:t xml:space="preserve"> millones, con un aumento de $</w:t>
            </w:r>
            <w:r>
              <w:rPr>
                <w:rFonts w:ascii="Candara" w:hAnsi="Candara"/>
                <w:sz w:val="24"/>
                <w:szCs w:val="24"/>
                <w:lang w:val="es-MX"/>
              </w:rPr>
              <w:t>2,</w:t>
            </w:r>
            <w:r w:rsidR="00D02B2E">
              <w:rPr>
                <w:rFonts w:ascii="Candara" w:hAnsi="Candara"/>
                <w:sz w:val="24"/>
                <w:szCs w:val="24"/>
                <w:lang w:val="es-MX"/>
              </w:rPr>
              <w:t>773.5</w:t>
            </w:r>
            <w:r w:rsidRPr="001A37E6">
              <w:rPr>
                <w:rFonts w:ascii="Candara" w:hAnsi="Candara"/>
                <w:sz w:val="24"/>
                <w:szCs w:val="24"/>
                <w:lang w:val="es-MX"/>
              </w:rPr>
              <w:t xml:space="preserve"> millones (1</w:t>
            </w:r>
            <w:r w:rsidR="00D02B2E">
              <w:rPr>
                <w:rFonts w:ascii="Candara" w:hAnsi="Candara"/>
                <w:sz w:val="24"/>
                <w:szCs w:val="24"/>
                <w:lang w:val="es-MX"/>
              </w:rPr>
              <w:t>4.7</w:t>
            </w:r>
            <w:r w:rsidRPr="001A37E6">
              <w:rPr>
                <w:rFonts w:ascii="Candara" w:hAnsi="Candara"/>
                <w:sz w:val="24"/>
                <w:szCs w:val="24"/>
                <w:lang w:val="es-MX"/>
              </w:rPr>
              <w:t xml:space="preserve">%) respecto al saldo registrado a </w:t>
            </w:r>
            <w:r w:rsidR="006854AC">
              <w:rPr>
                <w:rFonts w:ascii="Candara" w:hAnsi="Candara"/>
                <w:sz w:val="24"/>
                <w:szCs w:val="24"/>
                <w:lang w:val="es-MX"/>
              </w:rPr>
              <w:t>diciembre</w:t>
            </w:r>
            <w:r w:rsidRPr="001A37E6">
              <w:rPr>
                <w:rFonts w:ascii="Candara" w:hAnsi="Candara"/>
                <w:sz w:val="24"/>
                <w:szCs w:val="24"/>
                <w:lang w:val="es-MX"/>
              </w:rPr>
              <w:t xml:space="preserve"> de 2019. En términos del PIB, la deuda representa un 8</w:t>
            </w:r>
            <w:r>
              <w:rPr>
                <w:rFonts w:ascii="Candara" w:hAnsi="Candara"/>
                <w:sz w:val="24"/>
                <w:szCs w:val="24"/>
                <w:lang w:val="es-MX"/>
              </w:rPr>
              <w:t>5.</w:t>
            </w:r>
            <w:r w:rsidR="00D02B2E">
              <w:rPr>
                <w:rFonts w:ascii="Candara" w:hAnsi="Candara"/>
                <w:sz w:val="24"/>
                <w:szCs w:val="24"/>
                <w:lang w:val="es-MX"/>
              </w:rPr>
              <w:t>8</w:t>
            </w:r>
            <w:r w:rsidRPr="001A37E6">
              <w:rPr>
                <w:rFonts w:ascii="Candara" w:hAnsi="Candara"/>
                <w:sz w:val="24"/>
                <w:szCs w:val="24"/>
                <w:lang w:val="es-MX"/>
              </w:rPr>
              <w:t>%, indicador mayor en 1</w:t>
            </w:r>
            <w:r w:rsidR="00D02B2E">
              <w:rPr>
                <w:rFonts w:ascii="Candara" w:hAnsi="Candara"/>
                <w:sz w:val="24"/>
                <w:szCs w:val="24"/>
                <w:lang w:val="es-MX"/>
              </w:rPr>
              <w:t>5.9</w:t>
            </w:r>
            <w:r w:rsidRPr="001A37E6">
              <w:rPr>
                <w:rFonts w:ascii="Candara" w:hAnsi="Candara"/>
                <w:sz w:val="24"/>
                <w:szCs w:val="24"/>
                <w:lang w:val="es-MX"/>
              </w:rPr>
              <w:t xml:space="preserve"> puntos al registrado a </w:t>
            </w:r>
            <w:r w:rsidR="006854AC">
              <w:rPr>
                <w:rFonts w:ascii="Candara" w:hAnsi="Candara"/>
                <w:sz w:val="24"/>
                <w:szCs w:val="24"/>
                <w:lang w:val="es-MX"/>
              </w:rPr>
              <w:t>diciembre</w:t>
            </w:r>
            <w:r w:rsidRPr="001A37E6">
              <w:rPr>
                <w:rFonts w:ascii="Candara" w:hAnsi="Candara"/>
                <w:sz w:val="24"/>
                <w:szCs w:val="24"/>
                <w:lang w:val="es-MX"/>
              </w:rPr>
              <w:t xml:space="preserve"> de 2019. </w:t>
            </w:r>
          </w:p>
          <w:p w:rsidR="006B1211" w:rsidRDefault="006B1211" w:rsidP="006B1211">
            <w:pPr>
              <w:jc w:val="both"/>
              <w:rPr>
                <w:rFonts w:ascii="Candara" w:hAnsi="Candara"/>
                <w:sz w:val="24"/>
                <w:szCs w:val="24"/>
                <w:lang w:val="es-MX"/>
              </w:rPr>
            </w:pPr>
          </w:p>
          <w:p w:rsidR="006B1211" w:rsidRPr="00D834F7" w:rsidRDefault="006B1211" w:rsidP="006B1211">
            <w:pPr>
              <w:rPr>
                <w:rFonts w:ascii="Candara" w:hAnsi="Candara"/>
                <w:color w:val="2E74B5"/>
                <w:sz w:val="24"/>
                <w:szCs w:val="24"/>
                <w:lang w:val="es-MX"/>
              </w:rPr>
            </w:pPr>
            <w:r w:rsidRPr="001A37E6">
              <w:rPr>
                <w:rFonts w:ascii="Candara" w:hAnsi="Candara"/>
                <w:color w:val="2E74B5"/>
                <w:sz w:val="24"/>
                <w:szCs w:val="24"/>
                <w:lang w:val="es-MX"/>
              </w:rPr>
              <w:t>II. Entorno Macroeconómico</w:t>
            </w:r>
          </w:p>
          <w:p w:rsidR="006B1211" w:rsidRPr="00790662" w:rsidRDefault="006B1211" w:rsidP="006B1211">
            <w:pPr>
              <w:rPr>
                <w:rFonts w:ascii="Candara" w:hAnsi="Candara"/>
                <w:color w:val="2E74B5"/>
                <w:sz w:val="16"/>
                <w:szCs w:val="16"/>
                <w:lang w:val="es-MX"/>
              </w:rPr>
            </w:pPr>
          </w:p>
          <w:p w:rsidR="006B1211" w:rsidRPr="00790662" w:rsidRDefault="006B1211" w:rsidP="006B1211">
            <w:pPr>
              <w:jc w:val="both"/>
              <w:rPr>
                <w:rFonts w:ascii="Candara" w:hAnsi="Candara"/>
                <w:sz w:val="16"/>
                <w:szCs w:val="16"/>
                <w:lang w:val="es-MX"/>
              </w:rPr>
            </w:pPr>
          </w:p>
          <w:p w:rsidR="00A51D87" w:rsidRDefault="001D0083" w:rsidP="00A51D87">
            <w:pPr>
              <w:jc w:val="both"/>
              <w:rPr>
                <w:rFonts w:ascii="Candara" w:hAnsi="Candara"/>
                <w:sz w:val="24"/>
                <w:szCs w:val="24"/>
                <w:lang w:val="es-MX"/>
              </w:rPr>
            </w:pPr>
            <w:r>
              <w:rPr>
                <w:rFonts w:ascii="Candara" w:hAnsi="Candara"/>
                <w:sz w:val="24"/>
                <w:szCs w:val="24"/>
                <w:lang w:val="es-MX"/>
              </w:rPr>
              <w:t>Según el informe de l</w:t>
            </w:r>
            <w:r w:rsidR="006B1211" w:rsidRPr="00CA6B7F">
              <w:rPr>
                <w:rFonts w:ascii="Candara" w:hAnsi="Candara"/>
                <w:sz w:val="24"/>
                <w:szCs w:val="24"/>
                <w:lang w:val="es-MX"/>
              </w:rPr>
              <w:t>as perspectivas de la econ</w:t>
            </w:r>
            <w:r w:rsidR="00DD4E3C">
              <w:rPr>
                <w:rFonts w:ascii="Candara" w:hAnsi="Candara"/>
                <w:sz w:val="24"/>
                <w:szCs w:val="24"/>
                <w:lang w:val="es-MX"/>
              </w:rPr>
              <w:t>o</w:t>
            </w:r>
            <w:r w:rsidR="006B1211" w:rsidRPr="00CA6B7F">
              <w:rPr>
                <w:rFonts w:ascii="Candara" w:hAnsi="Candara"/>
                <w:sz w:val="24"/>
                <w:szCs w:val="24"/>
                <w:lang w:val="es-MX"/>
              </w:rPr>
              <w:t>m</w:t>
            </w:r>
            <w:r w:rsidR="00DD4E3C">
              <w:rPr>
                <w:rFonts w:ascii="Candara" w:hAnsi="Candara"/>
                <w:sz w:val="24"/>
                <w:szCs w:val="24"/>
                <w:lang w:val="es-MX"/>
              </w:rPr>
              <w:t>ía</w:t>
            </w:r>
            <w:r w:rsidR="006B1211" w:rsidRPr="00CA6B7F">
              <w:rPr>
                <w:rFonts w:ascii="Candara" w:hAnsi="Candara"/>
                <w:sz w:val="24"/>
                <w:szCs w:val="24"/>
                <w:lang w:val="es-MX"/>
              </w:rPr>
              <w:t xml:space="preserve"> mundial (FMI, </w:t>
            </w:r>
            <w:r w:rsidR="00A51D87">
              <w:rPr>
                <w:rFonts w:ascii="Candara" w:hAnsi="Candara"/>
                <w:sz w:val="24"/>
                <w:szCs w:val="24"/>
                <w:lang w:val="es-MX"/>
              </w:rPr>
              <w:t>enero</w:t>
            </w:r>
            <w:r w:rsidR="006B1211" w:rsidRPr="00CA6B7F">
              <w:rPr>
                <w:rFonts w:ascii="Candara" w:hAnsi="Candara"/>
                <w:sz w:val="24"/>
                <w:szCs w:val="24"/>
                <w:lang w:val="es-MX"/>
              </w:rPr>
              <w:t xml:space="preserve"> 202</w:t>
            </w:r>
            <w:r w:rsidR="00A51D87">
              <w:rPr>
                <w:rFonts w:ascii="Candara" w:hAnsi="Candara"/>
                <w:sz w:val="24"/>
                <w:szCs w:val="24"/>
                <w:lang w:val="es-MX"/>
              </w:rPr>
              <w:t>1</w:t>
            </w:r>
            <w:r w:rsidR="006B1211" w:rsidRPr="00CA6B7F">
              <w:rPr>
                <w:rFonts w:ascii="Candara" w:hAnsi="Candara"/>
                <w:sz w:val="24"/>
                <w:szCs w:val="24"/>
                <w:lang w:val="es-MX"/>
              </w:rPr>
              <w:t xml:space="preserve">), </w:t>
            </w:r>
            <w:r w:rsidR="00936B25">
              <w:rPr>
                <w:rFonts w:ascii="Candara" w:hAnsi="Candara"/>
                <w:sz w:val="24"/>
                <w:szCs w:val="24"/>
                <w:lang w:val="es-MX"/>
              </w:rPr>
              <w:t>destaca</w:t>
            </w:r>
            <w:r w:rsidR="006B1211" w:rsidRPr="00CA6B7F">
              <w:rPr>
                <w:rFonts w:ascii="Candara" w:hAnsi="Candara"/>
                <w:sz w:val="24"/>
                <w:szCs w:val="24"/>
                <w:lang w:val="es-MX"/>
              </w:rPr>
              <w:t xml:space="preserve"> una disminución de </w:t>
            </w:r>
            <w:r>
              <w:rPr>
                <w:rFonts w:ascii="Candara" w:hAnsi="Candara"/>
                <w:sz w:val="24"/>
                <w:szCs w:val="24"/>
                <w:lang w:val="es-MX"/>
              </w:rPr>
              <w:t xml:space="preserve">la economía mundial de </w:t>
            </w:r>
            <w:r w:rsidR="006B1211" w:rsidRPr="00CA6B7F">
              <w:rPr>
                <w:rFonts w:ascii="Candara" w:hAnsi="Candara"/>
                <w:sz w:val="24"/>
                <w:szCs w:val="24"/>
                <w:lang w:val="es-MX"/>
              </w:rPr>
              <w:t>-</w:t>
            </w:r>
            <w:r w:rsidR="00A51D87">
              <w:rPr>
                <w:rFonts w:ascii="Candara" w:hAnsi="Candara"/>
                <w:sz w:val="24"/>
                <w:szCs w:val="24"/>
                <w:lang w:val="es-MX"/>
              </w:rPr>
              <w:t>3.5</w:t>
            </w:r>
            <w:r w:rsidR="006B1211" w:rsidRPr="00CA6B7F">
              <w:rPr>
                <w:rFonts w:ascii="Candara" w:hAnsi="Candara"/>
                <w:sz w:val="24"/>
                <w:szCs w:val="24"/>
                <w:lang w:val="es-MX"/>
              </w:rPr>
              <w:t>% para el año 2020 y un crecimiento de 5.</w:t>
            </w:r>
            <w:r w:rsidR="00A51D87">
              <w:rPr>
                <w:rFonts w:ascii="Candara" w:hAnsi="Candara"/>
                <w:sz w:val="24"/>
                <w:szCs w:val="24"/>
                <w:lang w:val="es-MX"/>
              </w:rPr>
              <w:t>5</w:t>
            </w:r>
            <w:r w:rsidR="006B1211" w:rsidRPr="00CA6B7F">
              <w:rPr>
                <w:rFonts w:ascii="Candara" w:hAnsi="Candara"/>
                <w:sz w:val="24"/>
                <w:szCs w:val="24"/>
                <w:lang w:val="es-MX"/>
              </w:rPr>
              <w:t>% para el año 2021</w:t>
            </w:r>
            <w:r w:rsidR="006B1211">
              <w:rPr>
                <w:rFonts w:ascii="Candara" w:hAnsi="Candara"/>
                <w:sz w:val="24"/>
                <w:szCs w:val="24"/>
                <w:lang w:val="es-MX"/>
              </w:rPr>
              <w:t>.</w:t>
            </w:r>
            <w:r w:rsidR="006B1211" w:rsidRPr="00CA6B7F">
              <w:rPr>
                <w:rFonts w:ascii="Candara" w:hAnsi="Candara"/>
                <w:sz w:val="24"/>
                <w:szCs w:val="24"/>
                <w:lang w:val="es-MX"/>
              </w:rPr>
              <w:t xml:space="preserve"> En el caso de Estados Unidos proyectan variaciones de -</w:t>
            </w:r>
            <w:r w:rsidR="00A51D87">
              <w:rPr>
                <w:rFonts w:ascii="Candara" w:hAnsi="Candara"/>
                <w:sz w:val="24"/>
                <w:szCs w:val="24"/>
                <w:lang w:val="es-MX"/>
              </w:rPr>
              <w:t>3.4</w:t>
            </w:r>
            <w:r w:rsidR="006B1211" w:rsidRPr="00CA6B7F">
              <w:rPr>
                <w:rFonts w:ascii="Candara" w:hAnsi="Candara"/>
                <w:sz w:val="24"/>
                <w:szCs w:val="24"/>
                <w:lang w:val="es-MX"/>
              </w:rPr>
              <w:t xml:space="preserve">% y </w:t>
            </w:r>
            <w:r w:rsidR="00936B25">
              <w:rPr>
                <w:rFonts w:ascii="Candara" w:hAnsi="Candara"/>
                <w:sz w:val="24"/>
                <w:szCs w:val="24"/>
                <w:lang w:val="es-MX"/>
              </w:rPr>
              <w:t xml:space="preserve">un incremento de </w:t>
            </w:r>
            <w:r w:rsidR="00A51D87">
              <w:rPr>
                <w:rFonts w:ascii="Candara" w:hAnsi="Candara"/>
                <w:sz w:val="24"/>
                <w:szCs w:val="24"/>
                <w:lang w:val="es-MX"/>
              </w:rPr>
              <w:t>5.1</w:t>
            </w:r>
            <w:r w:rsidR="006B1211" w:rsidRPr="00CA6B7F">
              <w:rPr>
                <w:rFonts w:ascii="Candara" w:hAnsi="Candara"/>
                <w:sz w:val="24"/>
                <w:szCs w:val="24"/>
                <w:lang w:val="es-MX"/>
              </w:rPr>
              <w:t>%</w:t>
            </w:r>
            <w:r w:rsidR="00936B25">
              <w:rPr>
                <w:rFonts w:ascii="Candara" w:hAnsi="Candara"/>
                <w:sz w:val="24"/>
                <w:szCs w:val="24"/>
                <w:lang w:val="es-MX"/>
              </w:rPr>
              <w:t>,</w:t>
            </w:r>
            <w:r w:rsidR="006B1211" w:rsidRPr="00CA6B7F">
              <w:rPr>
                <w:rFonts w:ascii="Candara" w:hAnsi="Candara"/>
                <w:sz w:val="24"/>
                <w:szCs w:val="24"/>
                <w:lang w:val="es-MX"/>
              </w:rPr>
              <w:t xml:space="preserve"> para los años 2020 y 2021</w:t>
            </w:r>
            <w:r w:rsidR="00DD4E3C">
              <w:rPr>
                <w:rFonts w:ascii="Candara" w:hAnsi="Candara"/>
                <w:sz w:val="24"/>
                <w:szCs w:val="24"/>
                <w:lang w:val="es-MX"/>
              </w:rPr>
              <w:t>,</w:t>
            </w:r>
            <w:r w:rsidR="006B1211" w:rsidRPr="00CA6B7F">
              <w:rPr>
                <w:rFonts w:ascii="Candara" w:hAnsi="Candara"/>
                <w:sz w:val="24"/>
                <w:szCs w:val="24"/>
                <w:lang w:val="es-MX"/>
              </w:rPr>
              <w:t xml:space="preserve"> respectivamente</w:t>
            </w:r>
            <w:r w:rsidR="00A51D87">
              <w:rPr>
                <w:rFonts w:ascii="Candara" w:hAnsi="Candara"/>
                <w:sz w:val="24"/>
                <w:szCs w:val="24"/>
                <w:lang w:val="es-MX"/>
              </w:rPr>
              <w:t>.</w:t>
            </w:r>
            <w:r w:rsidR="006B1211" w:rsidRPr="00CA6B7F">
              <w:rPr>
                <w:rFonts w:ascii="Candara" w:hAnsi="Candara"/>
                <w:sz w:val="24"/>
                <w:szCs w:val="24"/>
                <w:lang w:val="es-MX"/>
              </w:rPr>
              <w:t xml:space="preserve"> </w:t>
            </w:r>
          </w:p>
          <w:p w:rsidR="00A51D87" w:rsidRDefault="00A51D87" w:rsidP="00A51D87">
            <w:pPr>
              <w:jc w:val="both"/>
              <w:rPr>
                <w:rFonts w:ascii="Candara" w:hAnsi="Candara"/>
                <w:sz w:val="24"/>
                <w:szCs w:val="24"/>
                <w:lang w:val="es-MX"/>
              </w:rPr>
            </w:pPr>
          </w:p>
          <w:p w:rsidR="00A51D87" w:rsidRPr="00A51D87" w:rsidRDefault="00A51D87" w:rsidP="00A51D87">
            <w:pPr>
              <w:jc w:val="both"/>
              <w:rPr>
                <w:rFonts w:ascii="Candara" w:hAnsi="Candara"/>
                <w:sz w:val="24"/>
                <w:szCs w:val="24"/>
                <w:lang w:val="es-MX"/>
              </w:rPr>
            </w:pPr>
            <w:r>
              <w:rPr>
                <w:rFonts w:ascii="Candara" w:hAnsi="Candara"/>
                <w:sz w:val="24"/>
                <w:szCs w:val="24"/>
                <w:lang w:val="es-MX"/>
              </w:rPr>
              <w:t>P</w:t>
            </w:r>
            <w:r w:rsidR="006B1211" w:rsidRPr="00CA6B7F">
              <w:rPr>
                <w:rFonts w:ascii="Candara" w:hAnsi="Candara"/>
                <w:sz w:val="24"/>
                <w:szCs w:val="24"/>
                <w:lang w:val="es-MX"/>
              </w:rPr>
              <w:t xml:space="preserve">ara El Salvador, </w:t>
            </w:r>
            <w:r w:rsidRPr="00A51D87">
              <w:rPr>
                <w:rFonts w:ascii="Candara" w:hAnsi="Candara"/>
                <w:sz w:val="24"/>
                <w:szCs w:val="24"/>
                <w:lang w:val="es-MX"/>
              </w:rPr>
              <w:t>El Banco Central de Reserva estima que en 2020 la economía se contrajo en un rango de -7.0% a -8.5%. Este desempeño fue el resultado de la contracción de la economía en el primer semestre a una tasa de -9.3%. Sin embargo, en el tercer trimestre se inició el proceso de recuperación económica al aumentar</w:t>
            </w:r>
            <w:r w:rsidR="00DD4E3C">
              <w:rPr>
                <w:rFonts w:ascii="Candara" w:hAnsi="Candara"/>
                <w:sz w:val="24"/>
                <w:szCs w:val="24"/>
                <w:lang w:val="es-MX"/>
              </w:rPr>
              <w:t xml:space="preserve"> el PIB</w:t>
            </w:r>
            <w:r w:rsidRPr="00A51D87">
              <w:rPr>
                <w:rFonts w:ascii="Candara" w:hAnsi="Candara"/>
                <w:sz w:val="24"/>
                <w:szCs w:val="24"/>
                <w:lang w:val="es-MX"/>
              </w:rPr>
              <w:t xml:space="preserve"> 12.0% respecto al segundo trimestre</w:t>
            </w:r>
            <w:r w:rsidR="00CD06CE">
              <w:rPr>
                <w:rFonts w:ascii="Candara" w:hAnsi="Candara"/>
                <w:sz w:val="24"/>
                <w:szCs w:val="24"/>
                <w:lang w:val="es-MX"/>
              </w:rPr>
              <w:t>, producto de la reapertura económica</w:t>
            </w:r>
            <w:r w:rsidRPr="00A51D87">
              <w:rPr>
                <w:rFonts w:ascii="Candara" w:hAnsi="Candara"/>
                <w:sz w:val="24"/>
                <w:szCs w:val="24"/>
                <w:lang w:val="es-MX"/>
              </w:rPr>
              <w:t>. Esto significó en términos de tasa anual una menor contracción (-10.2%), la cual es inferior en 9.6 puntos porcentuales respecto a la registrada en el segundo trimestre de 2020 (-19.8%)</w:t>
            </w:r>
            <w:r>
              <w:rPr>
                <w:rFonts w:ascii="Candara" w:hAnsi="Candara"/>
                <w:sz w:val="24"/>
                <w:szCs w:val="24"/>
                <w:lang w:val="es-MX"/>
              </w:rPr>
              <w:t>;</w:t>
            </w:r>
            <w:r w:rsidRPr="00CA6B7F">
              <w:rPr>
                <w:rFonts w:ascii="Candara" w:hAnsi="Candara"/>
                <w:sz w:val="24"/>
                <w:szCs w:val="24"/>
                <w:lang w:val="es-MX"/>
              </w:rPr>
              <w:t xml:space="preserve"> y para 2021 se proyecta </w:t>
            </w:r>
            <w:r w:rsidR="00CD06CE">
              <w:rPr>
                <w:rFonts w:ascii="Candara" w:hAnsi="Candara"/>
                <w:sz w:val="24"/>
                <w:szCs w:val="24"/>
                <w:lang w:val="es-MX"/>
              </w:rPr>
              <w:t>un</w:t>
            </w:r>
            <w:r w:rsidRPr="00CA6B7F">
              <w:rPr>
                <w:rFonts w:ascii="Candara" w:hAnsi="Candara"/>
                <w:sz w:val="24"/>
                <w:szCs w:val="24"/>
                <w:lang w:val="es-MX"/>
              </w:rPr>
              <w:t xml:space="preserve"> </w:t>
            </w:r>
            <w:r w:rsidRPr="00A51D87">
              <w:rPr>
                <w:rFonts w:ascii="Candara" w:hAnsi="Candara"/>
                <w:sz w:val="24"/>
                <w:szCs w:val="24"/>
                <w:lang w:val="es-MX"/>
              </w:rPr>
              <w:t>creci</w:t>
            </w:r>
            <w:r w:rsidR="00CD06CE">
              <w:rPr>
                <w:rFonts w:ascii="Candara" w:hAnsi="Candara"/>
                <w:sz w:val="24"/>
                <w:szCs w:val="24"/>
                <w:lang w:val="es-MX"/>
              </w:rPr>
              <w:t>mi</w:t>
            </w:r>
            <w:r w:rsidRPr="00A51D87">
              <w:rPr>
                <w:rFonts w:ascii="Candara" w:hAnsi="Candara"/>
                <w:sz w:val="24"/>
                <w:szCs w:val="24"/>
                <w:lang w:val="es-MX"/>
              </w:rPr>
              <w:t>en</w:t>
            </w:r>
            <w:r w:rsidR="00CD06CE">
              <w:rPr>
                <w:rFonts w:ascii="Candara" w:hAnsi="Candara"/>
                <w:sz w:val="24"/>
                <w:szCs w:val="24"/>
                <w:lang w:val="es-MX"/>
              </w:rPr>
              <w:t>to</w:t>
            </w:r>
            <w:r w:rsidRPr="00A51D87">
              <w:rPr>
                <w:rFonts w:ascii="Candara" w:hAnsi="Candara"/>
                <w:sz w:val="24"/>
                <w:szCs w:val="24"/>
                <w:lang w:val="es-MX"/>
              </w:rPr>
              <w:t xml:space="preserve"> en un rango de 3.5% a 4.0%.</w:t>
            </w:r>
          </w:p>
          <w:p w:rsidR="00A51D87" w:rsidRDefault="00A51D87" w:rsidP="00A51D87">
            <w:pPr>
              <w:jc w:val="both"/>
              <w:rPr>
                <w:rFonts w:ascii="Candara" w:hAnsi="Candara"/>
                <w:sz w:val="24"/>
                <w:szCs w:val="24"/>
                <w:lang w:val="es-MX"/>
              </w:rPr>
            </w:pPr>
          </w:p>
          <w:p w:rsidR="00A51D87" w:rsidRDefault="001D0083" w:rsidP="00A51D87">
            <w:pPr>
              <w:jc w:val="both"/>
              <w:rPr>
                <w:rFonts w:ascii="Candara" w:hAnsi="Candara"/>
                <w:sz w:val="24"/>
                <w:szCs w:val="24"/>
                <w:lang w:val="es-MX"/>
              </w:rPr>
            </w:pPr>
            <w:r>
              <w:rPr>
                <w:rFonts w:ascii="Candara" w:hAnsi="Candara"/>
                <w:sz w:val="24"/>
                <w:szCs w:val="24"/>
                <w:lang w:val="es-MX"/>
              </w:rPr>
              <w:lastRenderedPageBreak/>
              <w:t xml:space="preserve">A </w:t>
            </w:r>
            <w:r w:rsidR="003E28F3">
              <w:rPr>
                <w:rFonts w:ascii="Candara" w:hAnsi="Candara"/>
                <w:sz w:val="24"/>
                <w:szCs w:val="24"/>
                <w:lang w:val="es-MX"/>
              </w:rPr>
              <w:t>continuación,</w:t>
            </w:r>
            <w:r>
              <w:rPr>
                <w:rFonts w:ascii="Candara" w:hAnsi="Candara"/>
                <w:sz w:val="24"/>
                <w:szCs w:val="24"/>
                <w:lang w:val="es-MX"/>
              </w:rPr>
              <w:t xml:space="preserve"> se presentan l</w:t>
            </w:r>
            <w:r w:rsidR="00A51D87">
              <w:rPr>
                <w:rFonts w:ascii="Candara" w:hAnsi="Candara"/>
                <w:sz w:val="24"/>
                <w:szCs w:val="24"/>
                <w:lang w:val="es-MX"/>
              </w:rPr>
              <w:t>os r</w:t>
            </w:r>
            <w:r w:rsidR="00A51D87" w:rsidRPr="00CA6B7F">
              <w:rPr>
                <w:rFonts w:ascii="Candara" w:hAnsi="Candara"/>
                <w:sz w:val="24"/>
                <w:szCs w:val="24"/>
                <w:lang w:val="es-MX"/>
              </w:rPr>
              <w:t xml:space="preserve">esultados de economía nacional a </w:t>
            </w:r>
            <w:r w:rsidR="00A51D87">
              <w:rPr>
                <w:rFonts w:ascii="Candara" w:hAnsi="Candara"/>
                <w:sz w:val="24"/>
                <w:szCs w:val="24"/>
                <w:lang w:val="es-MX"/>
              </w:rPr>
              <w:t>diciembre</w:t>
            </w:r>
            <w:r w:rsidR="00A51D87" w:rsidRPr="00CA6B7F">
              <w:rPr>
                <w:rFonts w:ascii="Candara" w:hAnsi="Candara"/>
                <w:sz w:val="24"/>
                <w:szCs w:val="24"/>
                <w:lang w:val="es-MX"/>
              </w:rPr>
              <w:t xml:space="preserve"> 2020, basado de estadísticas </w:t>
            </w:r>
            <w:r w:rsidR="00CD06CE">
              <w:rPr>
                <w:rFonts w:ascii="Candara" w:hAnsi="Candara"/>
                <w:sz w:val="24"/>
                <w:szCs w:val="24"/>
                <w:lang w:val="es-MX"/>
              </w:rPr>
              <w:t>sobre</w:t>
            </w:r>
            <w:r w:rsidR="005924A9">
              <w:rPr>
                <w:rFonts w:ascii="Candara" w:hAnsi="Candara"/>
                <w:sz w:val="24"/>
                <w:szCs w:val="24"/>
                <w:lang w:val="es-MX"/>
              </w:rPr>
              <w:t xml:space="preserve"> las principales</w:t>
            </w:r>
            <w:r w:rsidR="005924A9" w:rsidRPr="00CA6B7F">
              <w:rPr>
                <w:rFonts w:ascii="Candara" w:hAnsi="Candara"/>
                <w:sz w:val="24"/>
                <w:szCs w:val="24"/>
                <w:lang w:val="es-MX"/>
              </w:rPr>
              <w:t xml:space="preserve"> </w:t>
            </w:r>
            <w:r w:rsidR="005924A9">
              <w:rPr>
                <w:rFonts w:ascii="Candara" w:hAnsi="Candara"/>
                <w:sz w:val="24"/>
                <w:szCs w:val="24"/>
                <w:lang w:val="es-MX"/>
              </w:rPr>
              <w:t xml:space="preserve">variables </w:t>
            </w:r>
            <w:r w:rsidR="00A51D87" w:rsidRPr="00CA6B7F">
              <w:rPr>
                <w:rFonts w:ascii="Candara" w:hAnsi="Candara"/>
                <w:sz w:val="24"/>
                <w:szCs w:val="24"/>
                <w:lang w:val="es-MX"/>
              </w:rPr>
              <w:t>macroeconómicas</w:t>
            </w:r>
            <w:r w:rsidR="00A51D87" w:rsidRPr="007F50E2">
              <w:rPr>
                <w:rFonts w:ascii="Candara" w:hAnsi="Candara"/>
                <w:sz w:val="24"/>
                <w:szCs w:val="24"/>
                <w:lang w:val="es-MX"/>
              </w:rPr>
              <w:t xml:space="preserve"> </w:t>
            </w:r>
            <w:r w:rsidR="00CD06CE" w:rsidRPr="00CA6B7F">
              <w:rPr>
                <w:rFonts w:ascii="Candara" w:hAnsi="Candara"/>
                <w:sz w:val="24"/>
                <w:szCs w:val="24"/>
                <w:lang w:val="es-MX"/>
              </w:rPr>
              <w:t>publica</w:t>
            </w:r>
            <w:r w:rsidR="00CD06CE">
              <w:rPr>
                <w:rFonts w:ascii="Candara" w:hAnsi="Candara"/>
                <w:sz w:val="24"/>
                <w:szCs w:val="24"/>
                <w:lang w:val="es-MX"/>
              </w:rPr>
              <w:t>das por</w:t>
            </w:r>
            <w:r w:rsidR="00CD06CE" w:rsidRPr="00CA6B7F">
              <w:rPr>
                <w:rFonts w:ascii="Candara" w:hAnsi="Candara"/>
                <w:sz w:val="24"/>
                <w:szCs w:val="24"/>
                <w:lang w:val="es-MX"/>
              </w:rPr>
              <w:t xml:space="preserve"> </w:t>
            </w:r>
            <w:r w:rsidR="00A51D87" w:rsidRPr="007F50E2">
              <w:rPr>
                <w:rFonts w:ascii="Candara" w:hAnsi="Candara"/>
                <w:sz w:val="24"/>
                <w:szCs w:val="24"/>
                <w:lang w:val="es-MX"/>
              </w:rPr>
              <w:t>el BCR</w:t>
            </w:r>
            <w:r w:rsidR="00A51D87">
              <w:rPr>
                <w:rFonts w:ascii="Candara" w:hAnsi="Candara"/>
                <w:sz w:val="24"/>
                <w:szCs w:val="24"/>
                <w:lang w:val="es-MX"/>
              </w:rPr>
              <w:t xml:space="preserve"> 2020</w:t>
            </w:r>
            <w:r w:rsidR="00A51D87" w:rsidRPr="007F50E2">
              <w:rPr>
                <w:rFonts w:ascii="Candara" w:hAnsi="Candara"/>
                <w:sz w:val="24"/>
                <w:szCs w:val="24"/>
                <w:lang w:val="es-MX"/>
              </w:rPr>
              <w:t>.</w:t>
            </w:r>
          </w:p>
          <w:p w:rsidR="00A51D87" w:rsidRPr="00A51D87" w:rsidRDefault="00A51D87" w:rsidP="00A51D87">
            <w:pPr>
              <w:jc w:val="both"/>
              <w:rPr>
                <w:rFonts w:ascii="Candara" w:hAnsi="Candara"/>
                <w:sz w:val="24"/>
                <w:szCs w:val="24"/>
                <w:lang w:val="es-MX"/>
              </w:rPr>
            </w:pPr>
          </w:p>
          <w:p w:rsidR="00790662" w:rsidRPr="00790662" w:rsidRDefault="00790662" w:rsidP="00790662">
            <w:pPr>
              <w:ind w:left="90"/>
              <w:jc w:val="both"/>
              <w:rPr>
                <w:rFonts w:ascii="Candara" w:hAnsi="Candara"/>
                <w:sz w:val="16"/>
                <w:szCs w:val="16"/>
                <w:lang w:val="es-MX"/>
              </w:rPr>
            </w:pPr>
          </w:p>
          <w:p w:rsidR="006B1211" w:rsidRDefault="006B1211" w:rsidP="001D0083">
            <w:pPr>
              <w:pStyle w:val="ListParagraph"/>
              <w:numPr>
                <w:ilvl w:val="0"/>
                <w:numId w:val="17"/>
              </w:numPr>
              <w:jc w:val="both"/>
              <w:rPr>
                <w:rFonts w:ascii="Candara" w:hAnsi="Candara"/>
                <w:sz w:val="24"/>
                <w:szCs w:val="24"/>
                <w:lang w:val="es-MX"/>
              </w:rPr>
            </w:pPr>
            <w:r w:rsidRPr="00790662">
              <w:rPr>
                <w:rFonts w:ascii="Candara" w:hAnsi="Candara"/>
                <w:sz w:val="24"/>
                <w:szCs w:val="24"/>
                <w:lang w:val="es-MX"/>
              </w:rPr>
              <w:t>El IVAE (serie desestacionalizada) registró</w:t>
            </w:r>
            <w:r w:rsidRPr="00790662">
              <w:rPr>
                <w:rFonts w:ascii="Arial" w:hAnsi="Arial" w:cs="Arial"/>
                <w:color w:val="222222"/>
                <w:shd w:val="clear" w:color="auto" w:fill="FFFFFF"/>
                <w:lang w:val="es-SV"/>
              </w:rPr>
              <w:t xml:space="preserve"> </w:t>
            </w:r>
            <w:r w:rsidRPr="00790662">
              <w:rPr>
                <w:rFonts w:ascii="Candara" w:hAnsi="Candara"/>
                <w:sz w:val="24"/>
                <w:szCs w:val="24"/>
                <w:lang w:val="es-MX"/>
              </w:rPr>
              <w:t xml:space="preserve">en </w:t>
            </w:r>
            <w:r w:rsidR="0019773D">
              <w:rPr>
                <w:rFonts w:ascii="Candara" w:hAnsi="Candara"/>
                <w:sz w:val="24"/>
                <w:szCs w:val="24"/>
                <w:lang w:val="es-MX"/>
              </w:rPr>
              <w:t>noviembre</w:t>
            </w:r>
            <w:r w:rsidRPr="00790662">
              <w:rPr>
                <w:rFonts w:ascii="Candara" w:hAnsi="Candara"/>
                <w:sz w:val="24"/>
                <w:szCs w:val="24"/>
                <w:lang w:val="es-MX"/>
              </w:rPr>
              <w:t xml:space="preserve"> de 2020 una variación anual de -</w:t>
            </w:r>
            <w:r w:rsidR="005924A9">
              <w:rPr>
                <w:rFonts w:ascii="Candara" w:hAnsi="Candara"/>
                <w:sz w:val="24"/>
                <w:szCs w:val="24"/>
                <w:lang w:val="es-MX"/>
              </w:rPr>
              <w:t>6.9</w:t>
            </w:r>
            <w:r w:rsidRPr="00790662">
              <w:rPr>
                <w:rFonts w:ascii="Candara" w:hAnsi="Candara"/>
                <w:sz w:val="24"/>
                <w:szCs w:val="24"/>
                <w:lang w:val="es-MX"/>
              </w:rPr>
              <w:t>%, asociada a la caída en el sector de Construcción en -</w:t>
            </w:r>
            <w:r w:rsidR="005924A9">
              <w:rPr>
                <w:rFonts w:ascii="Candara" w:hAnsi="Candara"/>
                <w:sz w:val="24"/>
                <w:szCs w:val="24"/>
                <w:lang w:val="es-MX"/>
              </w:rPr>
              <w:t>13.0</w:t>
            </w:r>
            <w:r w:rsidRPr="00790662">
              <w:rPr>
                <w:rFonts w:ascii="Candara" w:hAnsi="Candara"/>
                <w:sz w:val="24"/>
                <w:szCs w:val="24"/>
                <w:lang w:val="es-MX"/>
              </w:rPr>
              <w:t>%; Comercio, Transporte, Alojamiento y Comidas, en -</w:t>
            </w:r>
            <w:r w:rsidR="005924A9">
              <w:rPr>
                <w:rFonts w:ascii="Candara" w:hAnsi="Candara"/>
                <w:sz w:val="24"/>
                <w:szCs w:val="24"/>
                <w:lang w:val="es-MX"/>
              </w:rPr>
              <w:t>8.9</w:t>
            </w:r>
            <w:r w:rsidRPr="00790662">
              <w:rPr>
                <w:rFonts w:ascii="Candara" w:hAnsi="Candara"/>
                <w:sz w:val="24"/>
                <w:szCs w:val="24"/>
                <w:lang w:val="es-MX"/>
              </w:rPr>
              <w:t>%</w:t>
            </w:r>
            <w:r w:rsidR="00CD06CE">
              <w:rPr>
                <w:rFonts w:ascii="Candara" w:hAnsi="Candara"/>
                <w:sz w:val="24"/>
                <w:szCs w:val="24"/>
                <w:lang w:val="es-MX"/>
              </w:rPr>
              <w:t>;</w:t>
            </w:r>
            <w:r w:rsidR="005924A9">
              <w:rPr>
                <w:rFonts w:ascii="Candara" w:hAnsi="Candara"/>
                <w:sz w:val="24"/>
                <w:szCs w:val="24"/>
                <w:lang w:val="es-MX"/>
              </w:rPr>
              <w:t xml:space="preserve"> </w:t>
            </w:r>
            <w:r w:rsidR="00741185">
              <w:rPr>
                <w:rFonts w:ascii="Candara" w:hAnsi="Candara"/>
                <w:sz w:val="24"/>
                <w:szCs w:val="24"/>
                <w:lang w:val="es-MX"/>
              </w:rPr>
              <w:t>A</w:t>
            </w:r>
            <w:r w:rsidR="005924A9">
              <w:rPr>
                <w:rFonts w:ascii="Candara" w:hAnsi="Candara"/>
                <w:sz w:val="24"/>
                <w:szCs w:val="24"/>
                <w:lang w:val="es-MX"/>
              </w:rPr>
              <w:t>ctividades financieras -10.0%</w:t>
            </w:r>
            <w:r w:rsidRPr="00790662">
              <w:rPr>
                <w:rFonts w:ascii="Candara" w:hAnsi="Candara"/>
                <w:sz w:val="24"/>
                <w:szCs w:val="24"/>
                <w:lang w:val="es-MX"/>
              </w:rPr>
              <w:t xml:space="preserve"> y las Industrias Manufactureras, Explotación de Minas y Canteras y Otras Actividades Industriales, </w:t>
            </w:r>
            <w:r w:rsidR="00CD06CE">
              <w:rPr>
                <w:rFonts w:ascii="Candara" w:hAnsi="Candara"/>
                <w:sz w:val="24"/>
                <w:szCs w:val="24"/>
                <w:lang w:val="es-MX"/>
              </w:rPr>
              <w:t xml:space="preserve">en </w:t>
            </w:r>
            <w:r w:rsidRPr="00790662">
              <w:rPr>
                <w:rFonts w:ascii="Candara" w:hAnsi="Candara"/>
                <w:sz w:val="24"/>
                <w:szCs w:val="24"/>
                <w:lang w:val="es-MX"/>
              </w:rPr>
              <w:t>-</w:t>
            </w:r>
            <w:r w:rsidR="0019773D">
              <w:rPr>
                <w:rFonts w:ascii="Candara" w:hAnsi="Candara"/>
                <w:sz w:val="24"/>
                <w:szCs w:val="24"/>
                <w:lang w:val="es-MX"/>
              </w:rPr>
              <w:t>5.1%</w:t>
            </w:r>
            <w:r w:rsidRPr="00790662">
              <w:rPr>
                <w:rFonts w:ascii="Candara" w:hAnsi="Candara"/>
                <w:sz w:val="24"/>
                <w:szCs w:val="24"/>
                <w:lang w:val="es-MX"/>
              </w:rPr>
              <w:t>.</w:t>
            </w:r>
          </w:p>
          <w:p w:rsidR="0019773D" w:rsidRDefault="0019773D" w:rsidP="0019773D">
            <w:pPr>
              <w:pStyle w:val="ListParagraph"/>
              <w:ind w:left="305"/>
              <w:jc w:val="both"/>
              <w:rPr>
                <w:rFonts w:ascii="Candara" w:hAnsi="Candara"/>
                <w:sz w:val="24"/>
                <w:szCs w:val="24"/>
                <w:lang w:val="es-MX"/>
              </w:rPr>
            </w:pPr>
          </w:p>
          <w:p w:rsidR="0019773D" w:rsidRPr="0019773D" w:rsidRDefault="0019773D" w:rsidP="001D0083">
            <w:pPr>
              <w:numPr>
                <w:ilvl w:val="0"/>
                <w:numId w:val="17"/>
              </w:numPr>
              <w:spacing w:after="200" w:line="276" w:lineRule="auto"/>
              <w:jc w:val="both"/>
              <w:rPr>
                <w:rFonts w:ascii="Candara" w:hAnsi="Candara"/>
                <w:sz w:val="24"/>
                <w:szCs w:val="24"/>
                <w:lang w:val="es-MX"/>
              </w:rPr>
            </w:pPr>
            <w:r w:rsidRPr="0019773D">
              <w:rPr>
                <w:rFonts w:ascii="Candara" w:hAnsi="Candara"/>
                <w:sz w:val="24"/>
                <w:szCs w:val="24"/>
                <w:lang w:val="es-MX"/>
              </w:rPr>
              <w:t xml:space="preserve">La inflación anual </w:t>
            </w:r>
            <w:r>
              <w:rPr>
                <w:rFonts w:ascii="Candara" w:hAnsi="Candara"/>
                <w:sz w:val="24"/>
                <w:szCs w:val="24"/>
                <w:lang w:val="es-MX"/>
              </w:rPr>
              <w:t xml:space="preserve">a cierre de diciembre 2020 </w:t>
            </w:r>
            <w:r w:rsidRPr="0019773D">
              <w:rPr>
                <w:rFonts w:ascii="Candara" w:hAnsi="Candara"/>
                <w:sz w:val="24"/>
                <w:szCs w:val="24"/>
                <w:lang w:val="es-MX"/>
              </w:rPr>
              <w:t>fue de -0.1%, debido al efecto combinado de: aumento en la División de Bienes y servicios diversos (2.5%); Bebidas alcohólicas, tabaco (2.2%); Prendas de vestir y calzado (1.9%) y Salud (1.8%)</w:t>
            </w:r>
            <w:r w:rsidR="00CD06CE">
              <w:rPr>
                <w:rFonts w:ascii="Candara" w:hAnsi="Candara"/>
                <w:sz w:val="24"/>
                <w:szCs w:val="24"/>
                <w:lang w:val="es-MX"/>
              </w:rPr>
              <w:t>,</w:t>
            </w:r>
            <w:r w:rsidRPr="0019773D">
              <w:rPr>
                <w:rFonts w:ascii="Candara" w:hAnsi="Candara"/>
                <w:sz w:val="24"/>
                <w:szCs w:val="24"/>
                <w:lang w:val="es-MX"/>
              </w:rPr>
              <w:t xml:space="preserve"> entre otros y </w:t>
            </w:r>
            <w:r w:rsidR="00CD06CE">
              <w:rPr>
                <w:rFonts w:ascii="Candara" w:hAnsi="Candara"/>
                <w:sz w:val="24"/>
                <w:szCs w:val="24"/>
                <w:lang w:val="es-MX"/>
              </w:rPr>
              <w:t xml:space="preserve">por </w:t>
            </w:r>
            <w:r w:rsidRPr="0019773D">
              <w:rPr>
                <w:rFonts w:ascii="Candara" w:hAnsi="Candara"/>
                <w:sz w:val="24"/>
                <w:szCs w:val="24"/>
                <w:lang w:val="es-MX"/>
              </w:rPr>
              <w:t>las reducciones en las Divisiones de Transporte (-4.7%); Alojamiento, agua, electricidad, gas y otros combustibles (-2.2%) y Comunicaciones (-0.6%).</w:t>
            </w:r>
          </w:p>
          <w:p w:rsidR="0019773D" w:rsidRPr="0060086D" w:rsidRDefault="0019773D" w:rsidP="001D0083">
            <w:pPr>
              <w:numPr>
                <w:ilvl w:val="0"/>
                <w:numId w:val="17"/>
              </w:numPr>
              <w:spacing w:after="200" w:line="276" w:lineRule="auto"/>
              <w:jc w:val="both"/>
              <w:rPr>
                <w:rFonts w:ascii="Candara" w:hAnsi="Candara"/>
                <w:sz w:val="24"/>
                <w:szCs w:val="24"/>
                <w:lang w:val="es-MX"/>
              </w:rPr>
            </w:pPr>
            <w:bookmarkStart w:id="7" w:name="_Hlk60986249"/>
            <w:r w:rsidRPr="0060086D">
              <w:rPr>
                <w:rFonts w:ascii="Candara" w:hAnsi="Candara"/>
                <w:sz w:val="24"/>
                <w:szCs w:val="24"/>
                <w:lang w:val="es-MX"/>
              </w:rPr>
              <w:t xml:space="preserve">La evolución del empleo formal al mes de noviembre de 2020 </w:t>
            </w:r>
            <w:bookmarkStart w:id="8" w:name="_Hlk58933288"/>
            <w:r w:rsidRPr="0060086D">
              <w:rPr>
                <w:rFonts w:ascii="Candara" w:hAnsi="Candara"/>
                <w:sz w:val="24"/>
                <w:szCs w:val="24"/>
                <w:lang w:val="es-MX"/>
              </w:rPr>
              <w:t xml:space="preserve">alcanzó </w:t>
            </w:r>
            <w:bookmarkEnd w:id="8"/>
            <w:r w:rsidRPr="0060086D">
              <w:rPr>
                <w:rFonts w:ascii="Candara" w:hAnsi="Candara"/>
                <w:sz w:val="24"/>
                <w:szCs w:val="24"/>
                <w:lang w:val="es-MX"/>
              </w:rPr>
              <w:t>un total de 844,888 trabajadores. La crisis por la Pandemia del COVID-19 caus</w:t>
            </w:r>
            <w:r w:rsidR="00741185">
              <w:rPr>
                <w:rFonts w:ascii="Candara" w:hAnsi="Candara"/>
                <w:sz w:val="24"/>
                <w:szCs w:val="24"/>
                <w:lang w:val="es-MX"/>
              </w:rPr>
              <w:t>ó</w:t>
            </w:r>
            <w:r w:rsidRPr="0060086D">
              <w:rPr>
                <w:rFonts w:ascii="Candara" w:hAnsi="Candara"/>
                <w:sz w:val="24"/>
                <w:szCs w:val="24"/>
                <w:lang w:val="es-MX"/>
              </w:rPr>
              <w:t xml:space="preserve"> una pérdida de casi 66,000 empleos entre los per</w:t>
            </w:r>
            <w:r w:rsidR="00D25541">
              <w:rPr>
                <w:rFonts w:ascii="Candara" w:hAnsi="Candara"/>
                <w:sz w:val="24"/>
                <w:szCs w:val="24"/>
                <w:lang w:val="es-MX"/>
              </w:rPr>
              <w:t>ío</w:t>
            </w:r>
            <w:r w:rsidRPr="0060086D">
              <w:rPr>
                <w:rFonts w:ascii="Candara" w:hAnsi="Candara"/>
                <w:sz w:val="24"/>
                <w:szCs w:val="24"/>
                <w:lang w:val="es-MX"/>
              </w:rPr>
              <w:t>dos de diciembre 2019 a junio 2020, pero de junio a noviembre del presente año, se han recuperado un total de 35,152 empleos, de los cuales 31,480 pertenecen al sector privado; sin embargo, los niveles de noviembre</w:t>
            </w:r>
            <w:r w:rsidR="0060086D" w:rsidRPr="0060086D">
              <w:rPr>
                <w:rFonts w:ascii="Candara" w:hAnsi="Candara"/>
                <w:sz w:val="24"/>
                <w:szCs w:val="24"/>
                <w:lang w:val="es-MX"/>
              </w:rPr>
              <w:t xml:space="preserve"> 2020</w:t>
            </w:r>
            <w:r w:rsidRPr="0060086D">
              <w:rPr>
                <w:rFonts w:ascii="Candara" w:hAnsi="Candara"/>
                <w:sz w:val="24"/>
                <w:szCs w:val="24"/>
                <w:lang w:val="es-MX"/>
              </w:rPr>
              <w:t xml:space="preserve"> comparados</w:t>
            </w:r>
            <w:r w:rsidR="0060086D" w:rsidRPr="0060086D">
              <w:rPr>
                <w:rFonts w:ascii="Candara" w:hAnsi="Candara"/>
                <w:sz w:val="24"/>
                <w:szCs w:val="24"/>
                <w:lang w:val="es-MX"/>
              </w:rPr>
              <w:t xml:space="preserve"> </w:t>
            </w:r>
            <w:r w:rsidR="00766C5A">
              <w:rPr>
                <w:rFonts w:ascii="Candara" w:hAnsi="Candara"/>
                <w:sz w:val="24"/>
                <w:szCs w:val="24"/>
                <w:lang w:val="es-MX"/>
              </w:rPr>
              <w:t xml:space="preserve">con </w:t>
            </w:r>
            <w:r w:rsidR="0060086D" w:rsidRPr="0060086D">
              <w:rPr>
                <w:rFonts w:ascii="Candara" w:hAnsi="Candara"/>
                <w:sz w:val="24"/>
                <w:szCs w:val="24"/>
                <w:lang w:val="es-MX"/>
              </w:rPr>
              <w:t>igual mes del año anterior</w:t>
            </w:r>
            <w:r w:rsidRPr="0060086D">
              <w:rPr>
                <w:rFonts w:ascii="Candara" w:hAnsi="Candara"/>
                <w:sz w:val="24"/>
                <w:szCs w:val="24"/>
                <w:lang w:val="es-MX"/>
              </w:rPr>
              <w:t xml:space="preserve"> registran una pérdida de 3</w:t>
            </w:r>
            <w:r w:rsidR="0060086D" w:rsidRPr="0060086D">
              <w:rPr>
                <w:rFonts w:ascii="Candara" w:hAnsi="Candara"/>
                <w:sz w:val="24"/>
                <w:szCs w:val="24"/>
                <w:lang w:val="es-MX"/>
              </w:rPr>
              <w:t>3,929</w:t>
            </w:r>
            <w:r w:rsidRPr="0060086D">
              <w:rPr>
                <w:rFonts w:ascii="Candara" w:hAnsi="Candara"/>
                <w:sz w:val="24"/>
                <w:szCs w:val="24"/>
                <w:lang w:val="es-MX"/>
              </w:rPr>
              <w:t xml:space="preserve"> empleos, </w:t>
            </w:r>
            <w:r w:rsidR="0060086D" w:rsidRPr="0060086D">
              <w:rPr>
                <w:rFonts w:ascii="Candara" w:hAnsi="Candara"/>
                <w:sz w:val="24"/>
                <w:szCs w:val="24"/>
                <w:lang w:val="es-MX"/>
              </w:rPr>
              <w:t>equivalente al 3.9%.</w:t>
            </w:r>
          </w:p>
          <w:bookmarkEnd w:id="7"/>
          <w:p w:rsidR="0060086D" w:rsidRPr="0060086D" w:rsidRDefault="0060086D" w:rsidP="001D0083">
            <w:pPr>
              <w:numPr>
                <w:ilvl w:val="0"/>
                <w:numId w:val="17"/>
              </w:numPr>
              <w:spacing w:after="200" w:line="276" w:lineRule="auto"/>
              <w:jc w:val="both"/>
              <w:rPr>
                <w:rFonts w:ascii="Candara" w:hAnsi="Candara"/>
                <w:sz w:val="24"/>
                <w:szCs w:val="24"/>
                <w:lang w:val="es-MX"/>
              </w:rPr>
            </w:pPr>
            <w:r w:rsidRPr="0060086D">
              <w:rPr>
                <w:rFonts w:ascii="Candara" w:hAnsi="Candara"/>
                <w:sz w:val="24"/>
                <w:szCs w:val="24"/>
                <w:lang w:val="es-MX"/>
              </w:rPr>
              <w:t>Las exportaciones registraron un total de $5,030.1 millones con una reducción de 15.4% equivalentes a -$913.2 millones, de conformidad a la Clasificación Internacional Industrial Uniforme (CIIU Rev. 4), se reporta disminución en las industrias manufactureras por $625.6 millones; en la maquila por $276.6 millones; en la agricultura, ganadería silvicultura y pesca por $7.3 millones; en suministro de electricidad, gas, vapor y aire acondicionado por $3.4 millones. Del 1 al 31 de diciembre las exportaciones totales ascendieron a $499.2 millones, y registraron un incremento anual de $50.7 millones equivalentes a 11.3%.</w:t>
            </w:r>
          </w:p>
          <w:p w:rsidR="00190B09" w:rsidRPr="00190B09" w:rsidRDefault="00190B09" w:rsidP="001D0083">
            <w:pPr>
              <w:numPr>
                <w:ilvl w:val="0"/>
                <w:numId w:val="17"/>
              </w:numPr>
              <w:spacing w:after="200" w:line="276" w:lineRule="auto"/>
              <w:jc w:val="both"/>
              <w:rPr>
                <w:rFonts w:ascii="Candara" w:hAnsi="Candara"/>
                <w:sz w:val="24"/>
                <w:szCs w:val="24"/>
                <w:lang w:val="es-MX"/>
              </w:rPr>
            </w:pPr>
            <w:r w:rsidRPr="00190B09">
              <w:rPr>
                <w:rFonts w:ascii="Candara" w:hAnsi="Candara"/>
                <w:sz w:val="24"/>
                <w:szCs w:val="24"/>
                <w:lang w:val="es-MX"/>
              </w:rPr>
              <w:t>Las importaciones ascendieron a $10,593.7 millones, reduciéndose 11.8% (-$1,423.8 millones), según su clasificación económica, se registró reducciones en todos sus rubros, las importaciones de bienes de consumo -7.1% (-$325.5 millones); los bienes intermedios en -18.5% (-$911.2 millones); los bienes de capital reflejaron reducción de -0.7% (-$12.6 millones) y la maquila registr</w:t>
            </w:r>
            <w:r w:rsidR="00CD06CE">
              <w:rPr>
                <w:rFonts w:ascii="Candara" w:hAnsi="Candara"/>
                <w:sz w:val="24"/>
                <w:szCs w:val="24"/>
                <w:lang w:val="es-MX"/>
              </w:rPr>
              <w:t>ó</w:t>
            </w:r>
            <w:r w:rsidRPr="00190B09">
              <w:rPr>
                <w:rFonts w:ascii="Candara" w:hAnsi="Candara"/>
                <w:sz w:val="24"/>
                <w:szCs w:val="24"/>
                <w:lang w:val="es-MX"/>
              </w:rPr>
              <w:t xml:space="preserve"> una reducción de -25.7% (-$174.5 millones). Del 1 al 31 de diciembre las importaciones totales ascendieron a $1,085.1 millones, y registraron un incremento anual de $183.9 millones equivalentes a 20.4%.</w:t>
            </w:r>
          </w:p>
          <w:p w:rsidR="00190B09" w:rsidRPr="00190B09" w:rsidRDefault="00190B09" w:rsidP="001D0083">
            <w:pPr>
              <w:numPr>
                <w:ilvl w:val="0"/>
                <w:numId w:val="17"/>
              </w:numPr>
              <w:spacing w:after="200" w:line="276" w:lineRule="auto"/>
              <w:jc w:val="both"/>
              <w:rPr>
                <w:rFonts w:ascii="Candara" w:hAnsi="Candara"/>
                <w:sz w:val="24"/>
                <w:szCs w:val="24"/>
                <w:lang w:val="es-MX"/>
              </w:rPr>
            </w:pPr>
            <w:r w:rsidRPr="00190B09">
              <w:rPr>
                <w:rFonts w:ascii="Candara" w:hAnsi="Candara"/>
                <w:sz w:val="24"/>
                <w:szCs w:val="24"/>
                <w:lang w:val="es-MX"/>
              </w:rPr>
              <w:lastRenderedPageBreak/>
              <w:t>La factura petrolera alcanzó un total de $943.6 millones (reportándose una disminución anual de $550.1 millones equivalente a -36.8%), y el monto total de la factura representa el 8.9% del total de las importaciones. Del 1 al 31 de diciembre se reportó un monto de $85.0 millones, con una reducción anual de $29.3 millones equivalentes a -25.7%.</w:t>
            </w:r>
          </w:p>
          <w:p w:rsidR="00190B09" w:rsidRPr="00190B09" w:rsidRDefault="00190B09" w:rsidP="001D0083">
            <w:pPr>
              <w:numPr>
                <w:ilvl w:val="0"/>
                <w:numId w:val="17"/>
              </w:numPr>
              <w:spacing w:after="200" w:line="276" w:lineRule="auto"/>
              <w:jc w:val="both"/>
              <w:rPr>
                <w:rFonts w:ascii="Candara" w:hAnsi="Candara"/>
                <w:sz w:val="24"/>
                <w:szCs w:val="24"/>
                <w:lang w:val="es-MX"/>
              </w:rPr>
            </w:pPr>
            <w:r w:rsidRPr="00190B09">
              <w:rPr>
                <w:rFonts w:ascii="Candara" w:hAnsi="Candara"/>
                <w:sz w:val="24"/>
                <w:szCs w:val="24"/>
                <w:lang w:val="es-MX"/>
              </w:rPr>
              <w:t xml:space="preserve">Las Remesas familiares </w:t>
            </w:r>
            <w:r w:rsidR="001D0083">
              <w:rPr>
                <w:rFonts w:ascii="Candara" w:hAnsi="Candara"/>
                <w:sz w:val="24"/>
                <w:szCs w:val="24"/>
                <w:lang w:val="es-MX"/>
              </w:rPr>
              <w:t>a</w:t>
            </w:r>
            <w:r w:rsidR="00D25541">
              <w:rPr>
                <w:rFonts w:ascii="Candara" w:hAnsi="Candara"/>
                <w:sz w:val="24"/>
                <w:szCs w:val="24"/>
                <w:lang w:val="es-MX"/>
              </w:rPr>
              <w:t>l</w:t>
            </w:r>
            <w:r w:rsidR="001D0083">
              <w:rPr>
                <w:rFonts w:ascii="Candara" w:hAnsi="Candara"/>
                <w:sz w:val="24"/>
                <w:szCs w:val="24"/>
                <w:lang w:val="es-MX"/>
              </w:rPr>
              <w:t xml:space="preserve"> mes de diciembre 2020 </w:t>
            </w:r>
            <w:r w:rsidRPr="00190B09">
              <w:rPr>
                <w:rFonts w:ascii="Candara" w:hAnsi="Candara"/>
                <w:sz w:val="24"/>
                <w:szCs w:val="24"/>
                <w:lang w:val="es-MX"/>
              </w:rPr>
              <w:t>acumularon un monto de $5,918.6 millones, con un incremento anual de $269.7 millones equivalentes a 4.8%. Del 1 al 31 de diciembre se reportó un monto de $644.6 millones, con un incremento anual de $93.3 millones equivalentes a 16.9%.</w:t>
            </w:r>
          </w:p>
          <w:p w:rsidR="001D0083" w:rsidRPr="001D0083" w:rsidRDefault="001D0083" w:rsidP="001D0083">
            <w:pPr>
              <w:numPr>
                <w:ilvl w:val="0"/>
                <w:numId w:val="17"/>
              </w:numPr>
              <w:spacing w:after="200" w:line="276" w:lineRule="auto"/>
              <w:jc w:val="both"/>
              <w:rPr>
                <w:rFonts w:ascii="Candara" w:hAnsi="Candara"/>
                <w:sz w:val="24"/>
                <w:szCs w:val="24"/>
                <w:lang w:val="es-MX"/>
              </w:rPr>
            </w:pPr>
            <w:r w:rsidRPr="001D0083">
              <w:rPr>
                <w:rFonts w:ascii="Candara" w:hAnsi="Candara"/>
                <w:sz w:val="24"/>
                <w:szCs w:val="24"/>
                <w:lang w:val="es-MX"/>
              </w:rPr>
              <w:t>En el sector financiero al mes de diciembre se reportó una tasa de interés activa de 6.49% mayor que la del año anterior en 4 puntos base. Por su parte, tasa básica pasiva se ubicó en 3.89% menor que la del año anterior en 36 punto</w:t>
            </w:r>
            <w:r w:rsidR="00D25541">
              <w:rPr>
                <w:rFonts w:ascii="Candara" w:hAnsi="Candara"/>
                <w:sz w:val="24"/>
                <w:szCs w:val="24"/>
                <w:lang w:val="es-MX"/>
              </w:rPr>
              <w:t>s</w:t>
            </w:r>
            <w:r w:rsidRPr="001D0083">
              <w:rPr>
                <w:rFonts w:ascii="Candara" w:hAnsi="Candara"/>
                <w:sz w:val="24"/>
                <w:szCs w:val="24"/>
                <w:lang w:val="es-MX"/>
              </w:rPr>
              <w:t xml:space="preserve"> base.</w:t>
            </w:r>
          </w:p>
          <w:p w:rsidR="001D0083" w:rsidRPr="001D0083" w:rsidRDefault="001D0083" w:rsidP="001D0083">
            <w:pPr>
              <w:numPr>
                <w:ilvl w:val="0"/>
                <w:numId w:val="17"/>
              </w:numPr>
              <w:spacing w:after="200" w:line="276" w:lineRule="auto"/>
              <w:jc w:val="both"/>
              <w:rPr>
                <w:rFonts w:ascii="Candara" w:hAnsi="Candara"/>
                <w:sz w:val="24"/>
                <w:szCs w:val="24"/>
                <w:lang w:val="es-MX"/>
              </w:rPr>
            </w:pPr>
            <w:r w:rsidRPr="001D0083">
              <w:rPr>
                <w:rFonts w:ascii="Candara" w:hAnsi="Candara"/>
                <w:sz w:val="24"/>
                <w:szCs w:val="24"/>
                <w:lang w:val="es-MX"/>
              </w:rPr>
              <w:t>El saldo de la cartera préstamo (Bancos, Bancos Cooperativos y Sociedades de Ahorro y Crédito) por sector económico al 31 de diciembre de 2020 fue de $14,842.2 millones, registrando un crecimiento anual de 1.5% ($215.7 millones). Los sectores que reportaron mayores saldos fueron: consumo; adquisición de vivienda; comercio; industria; y servicios, los cuales acumularon un 82.5% del saldo total.</w:t>
            </w:r>
          </w:p>
          <w:p w:rsidR="0019773D" w:rsidRDefault="0019773D" w:rsidP="001D0083">
            <w:pPr>
              <w:pStyle w:val="ListParagraph"/>
              <w:ind w:left="305"/>
              <w:jc w:val="both"/>
              <w:rPr>
                <w:rFonts w:ascii="Candara" w:hAnsi="Candara"/>
                <w:sz w:val="24"/>
                <w:szCs w:val="24"/>
                <w:lang w:val="es-MX"/>
              </w:rPr>
            </w:pPr>
          </w:p>
          <w:p w:rsidR="006B1211" w:rsidRPr="00790662" w:rsidRDefault="006B1211" w:rsidP="006B1211">
            <w:pPr>
              <w:pStyle w:val="ListParagraph"/>
              <w:ind w:left="305"/>
              <w:jc w:val="both"/>
              <w:rPr>
                <w:rFonts w:ascii="Candara" w:hAnsi="Candara"/>
                <w:sz w:val="16"/>
                <w:szCs w:val="16"/>
                <w:lang w:val="es-MX"/>
              </w:rPr>
            </w:pPr>
          </w:p>
          <w:p w:rsidR="00BE249D" w:rsidRPr="00790662" w:rsidRDefault="00BE249D" w:rsidP="00BE249D">
            <w:pPr>
              <w:pStyle w:val="ListParagraph"/>
              <w:rPr>
                <w:rFonts w:ascii="Candara" w:hAnsi="Candara"/>
                <w:sz w:val="16"/>
                <w:szCs w:val="16"/>
                <w:lang w:val="es-MX"/>
              </w:rPr>
            </w:pPr>
          </w:p>
          <w:p w:rsidR="00BE249D" w:rsidRPr="00BE249D" w:rsidRDefault="00BE249D" w:rsidP="00BE249D">
            <w:pPr>
              <w:rPr>
                <w:rFonts w:ascii="Candara" w:hAnsi="Candara"/>
                <w:sz w:val="24"/>
                <w:szCs w:val="24"/>
                <w:lang w:val="es-MX"/>
              </w:rPr>
            </w:pPr>
          </w:p>
          <w:p w:rsidR="006B1211" w:rsidRDefault="006B1211"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C309F6" w:rsidRDefault="00C309F6" w:rsidP="00D55CD7">
            <w:pPr>
              <w:jc w:val="both"/>
              <w:rPr>
                <w:rFonts w:ascii="Candara" w:hAnsi="Candara"/>
                <w:b/>
                <w:sz w:val="24"/>
                <w:szCs w:val="24"/>
                <w:lang w:val="es-MX"/>
              </w:rPr>
            </w:pPr>
          </w:p>
          <w:p w:rsidR="00C309F6" w:rsidRDefault="00C309F6" w:rsidP="00D55CD7">
            <w:pPr>
              <w:jc w:val="both"/>
              <w:rPr>
                <w:rFonts w:ascii="Candara" w:hAnsi="Candara"/>
                <w:b/>
                <w:sz w:val="24"/>
                <w:szCs w:val="24"/>
                <w:lang w:val="es-MX"/>
              </w:rPr>
            </w:pPr>
          </w:p>
          <w:p w:rsidR="001D0083" w:rsidRDefault="001D0083" w:rsidP="00D55CD7">
            <w:pPr>
              <w:jc w:val="both"/>
              <w:rPr>
                <w:rFonts w:ascii="Candara" w:hAnsi="Candara"/>
                <w:b/>
                <w:sz w:val="24"/>
                <w:szCs w:val="24"/>
                <w:lang w:val="es-MX"/>
              </w:rPr>
            </w:pPr>
          </w:p>
          <w:p w:rsidR="00D540FA" w:rsidRPr="007F50E2" w:rsidRDefault="006B1211" w:rsidP="00D55CD7">
            <w:pPr>
              <w:jc w:val="both"/>
              <w:rPr>
                <w:rFonts w:ascii="Candara" w:hAnsi="Candara"/>
                <w:b/>
                <w:sz w:val="24"/>
                <w:szCs w:val="24"/>
                <w:lang w:val="es-MX"/>
              </w:rPr>
            </w:pPr>
            <w:r>
              <w:rPr>
                <w:rFonts w:ascii="Candara" w:hAnsi="Candara"/>
                <w:b/>
                <w:sz w:val="24"/>
                <w:szCs w:val="24"/>
                <w:lang w:val="es-MX"/>
              </w:rPr>
              <w:lastRenderedPageBreak/>
              <w:t>GESTION</w:t>
            </w:r>
            <w:r w:rsidR="00D540FA" w:rsidRPr="007F50E2">
              <w:rPr>
                <w:rFonts w:ascii="Candara" w:hAnsi="Candara"/>
                <w:b/>
                <w:sz w:val="24"/>
                <w:szCs w:val="24"/>
                <w:lang w:val="es-MX"/>
              </w:rPr>
              <w:t xml:space="preserve"> DE LAS FINANZAS PÚBLICAS</w:t>
            </w:r>
            <w:bookmarkEnd w:id="4"/>
            <w:bookmarkEnd w:id="3"/>
            <w:bookmarkEnd w:id="2"/>
          </w:p>
          <w:p w:rsidR="0034685B" w:rsidRPr="007F50E2" w:rsidRDefault="0034685B" w:rsidP="00D55CD7">
            <w:pPr>
              <w:jc w:val="both"/>
              <w:rPr>
                <w:rFonts w:ascii="Candara" w:hAnsi="Candara"/>
                <w:sz w:val="24"/>
                <w:szCs w:val="24"/>
                <w:lang w:val="es-MX"/>
              </w:rPr>
            </w:pPr>
            <w:bookmarkStart w:id="9" w:name="_Toc411843460"/>
          </w:p>
          <w:p w:rsidR="00D540FA" w:rsidRPr="006733D2" w:rsidRDefault="009B117C" w:rsidP="006733D2">
            <w:pPr>
              <w:pStyle w:val="Heading3"/>
              <w:rPr>
                <w:rFonts w:ascii="Candara" w:hAnsi="Candara"/>
                <w:b/>
                <w:lang w:val="es-MX"/>
              </w:rPr>
            </w:pPr>
            <w:bookmarkStart w:id="10" w:name="_Toc505951454"/>
            <w:bookmarkStart w:id="11" w:name="_Toc56581204"/>
            <w:bookmarkStart w:id="12" w:name="_Toc64531464"/>
            <w:r w:rsidRPr="006733D2">
              <w:rPr>
                <w:rFonts w:ascii="Candara" w:hAnsi="Candara"/>
                <w:b/>
                <w:lang w:val="es-MX"/>
              </w:rPr>
              <w:t xml:space="preserve">1. </w:t>
            </w:r>
            <w:r w:rsidR="00D540FA" w:rsidRPr="006733D2">
              <w:rPr>
                <w:rFonts w:ascii="Candara" w:hAnsi="Candara"/>
                <w:b/>
                <w:lang w:val="es-MX"/>
              </w:rPr>
              <w:t>Ingresos Totales</w:t>
            </w:r>
            <w:bookmarkEnd w:id="9"/>
            <w:bookmarkEnd w:id="10"/>
            <w:r w:rsidR="00B2286A" w:rsidRPr="006733D2">
              <w:rPr>
                <w:rFonts w:ascii="Candara" w:hAnsi="Candara"/>
                <w:b/>
                <w:lang w:val="es-MX"/>
              </w:rPr>
              <w:t xml:space="preserve"> del SPNF</w:t>
            </w:r>
            <w:r w:rsidR="00912173">
              <w:rPr>
                <w:rFonts w:ascii="Candara" w:hAnsi="Candara"/>
                <w:b/>
                <w:lang w:val="es-MX"/>
              </w:rPr>
              <w:t xml:space="preserve"> (ver anexo 3)</w:t>
            </w:r>
            <w:r w:rsidR="00B2286A" w:rsidRPr="006733D2">
              <w:rPr>
                <w:rFonts w:ascii="Candara" w:hAnsi="Candara"/>
                <w:b/>
                <w:lang w:val="es-MX"/>
              </w:rPr>
              <w:t>.</w:t>
            </w:r>
            <w:bookmarkEnd w:id="11"/>
            <w:bookmarkEnd w:id="12"/>
          </w:p>
          <w:p w:rsidR="00D540FA" w:rsidRPr="007F50E2" w:rsidRDefault="00D540FA" w:rsidP="004A685A">
            <w:pPr>
              <w:jc w:val="both"/>
              <w:rPr>
                <w:rFonts w:ascii="Candara" w:hAnsi="Candara"/>
                <w:sz w:val="24"/>
                <w:szCs w:val="24"/>
                <w:lang w:val="es-MX"/>
              </w:rPr>
            </w:pPr>
          </w:p>
          <w:p w:rsidR="005649A2" w:rsidRDefault="0044329E" w:rsidP="004A685A">
            <w:pPr>
              <w:jc w:val="both"/>
              <w:rPr>
                <w:rFonts w:ascii="Candara" w:hAnsi="Candara"/>
                <w:sz w:val="24"/>
                <w:szCs w:val="24"/>
                <w:lang w:val="es-MX"/>
              </w:rPr>
            </w:pPr>
            <w:r w:rsidRPr="00AE6362">
              <w:rPr>
                <w:rFonts w:ascii="Candara" w:hAnsi="Candara"/>
                <w:sz w:val="24"/>
                <w:szCs w:val="24"/>
                <w:lang w:val="es-MX"/>
              </w:rPr>
              <w:t xml:space="preserve">Los ingresos </w:t>
            </w:r>
            <w:r w:rsidR="00964E98" w:rsidRPr="00AE6362">
              <w:rPr>
                <w:rFonts w:ascii="Candara" w:hAnsi="Candara"/>
                <w:sz w:val="24"/>
                <w:szCs w:val="24"/>
                <w:lang w:val="es-MX"/>
              </w:rPr>
              <w:t>totales a</w:t>
            </w:r>
            <w:r w:rsidR="001E1C63" w:rsidRPr="00AE6362">
              <w:rPr>
                <w:rFonts w:ascii="Candara" w:hAnsi="Candara"/>
                <w:sz w:val="24"/>
                <w:szCs w:val="24"/>
                <w:lang w:val="es-MX"/>
              </w:rPr>
              <w:t xml:space="preserve"> </w:t>
            </w:r>
            <w:r w:rsidR="006854AC">
              <w:rPr>
                <w:rFonts w:ascii="Candara" w:hAnsi="Candara"/>
                <w:sz w:val="24"/>
                <w:szCs w:val="24"/>
                <w:lang w:val="es-MX"/>
              </w:rPr>
              <w:t>diciembre</w:t>
            </w:r>
            <w:r w:rsidR="001E1C63" w:rsidRPr="00AE6362">
              <w:rPr>
                <w:rFonts w:ascii="Candara" w:hAnsi="Candara"/>
                <w:sz w:val="24"/>
                <w:szCs w:val="24"/>
                <w:lang w:val="es-MX"/>
              </w:rPr>
              <w:t xml:space="preserve"> de </w:t>
            </w:r>
            <w:r w:rsidR="00042C94" w:rsidRPr="00AE6362">
              <w:rPr>
                <w:rFonts w:ascii="Candara" w:hAnsi="Candara"/>
                <w:sz w:val="24"/>
                <w:szCs w:val="24"/>
                <w:lang w:val="es-MX"/>
              </w:rPr>
              <w:t>2020</w:t>
            </w:r>
            <w:r w:rsidRPr="00AE6362">
              <w:rPr>
                <w:rFonts w:ascii="Candara" w:hAnsi="Candara"/>
                <w:sz w:val="24"/>
                <w:szCs w:val="24"/>
                <w:lang w:val="es-MX"/>
              </w:rPr>
              <w:t xml:space="preserve"> ascendieron a un total de $</w:t>
            </w:r>
            <w:r w:rsidR="0077621C">
              <w:rPr>
                <w:rFonts w:ascii="Candara" w:hAnsi="Candara"/>
                <w:sz w:val="24"/>
                <w:szCs w:val="24"/>
                <w:lang w:val="es-MX"/>
              </w:rPr>
              <w:t>5,7</w:t>
            </w:r>
            <w:r w:rsidR="0093118D">
              <w:rPr>
                <w:rFonts w:ascii="Candara" w:hAnsi="Candara"/>
                <w:sz w:val="24"/>
                <w:szCs w:val="24"/>
                <w:lang w:val="es-MX"/>
              </w:rPr>
              <w:t>38.8</w:t>
            </w:r>
            <w:r w:rsidR="0077621C">
              <w:rPr>
                <w:rFonts w:ascii="Candara" w:hAnsi="Candara"/>
                <w:sz w:val="24"/>
                <w:szCs w:val="24"/>
                <w:lang w:val="es-MX"/>
              </w:rPr>
              <w:t xml:space="preserve"> </w:t>
            </w:r>
            <w:r w:rsidRPr="00AE6362">
              <w:rPr>
                <w:rFonts w:ascii="Candara" w:hAnsi="Candara"/>
                <w:sz w:val="24"/>
                <w:szCs w:val="24"/>
                <w:lang w:val="es-MX"/>
              </w:rPr>
              <w:t>millones, valor</w:t>
            </w:r>
            <w:r w:rsidRPr="007F50E2">
              <w:rPr>
                <w:rFonts w:ascii="Candara" w:hAnsi="Candara"/>
                <w:sz w:val="24"/>
                <w:szCs w:val="24"/>
                <w:lang w:val="es-MX"/>
              </w:rPr>
              <w:t xml:space="preserve"> que representa un</w:t>
            </w:r>
            <w:r w:rsidR="00857FF8">
              <w:rPr>
                <w:rFonts w:ascii="Candara" w:hAnsi="Candara"/>
                <w:sz w:val="24"/>
                <w:szCs w:val="24"/>
                <w:lang w:val="es-MX"/>
              </w:rPr>
              <w:t>a</w:t>
            </w:r>
            <w:r w:rsidRPr="007F50E2">
              <w:rPr>
                <w:rFonts w:ascii="Candara" w:hAnsi="Candara"/>
                <w:sz w:val="24"/>
                <w:szCs w:val="24"/>
                <w:lang w:val="es-MX"/>
              </w:rPr>
              <w:t xml:space="preserve"> </w:t>
            </w:r>
            <w:r w:rsidR="00857FF8">
              <w:rPr>
                <w:rFonts w:ascii="Candara" w:hAnsi="Candara"/>
                <w:sz w:val="24"/>
                <w:szCs w:val="24"/>
                <w:lang w:val="es-MX"/>
              </w:rPr>
              <w:t xml:space="preserve">reducción </w:t>
            </w:r>
            <w:r w:rsidR="00964E98">
              <w:rPr>
                <w:rFonts w:ascii="Candara" w:hAnsi="Candara"/>
                <w:sz w:val="24"/>
                <w:szCs w:val="24"/>
                <w:lang w:val="es-MX"/>
              </w:rPr>
              <w:t>inter</w:t>
            </w:r>
            <w:r w:rsidRPr="007F50E2">
              <w:rPr>
                <w:rFonts w:ascii="Candara" w:hAnsi="Candara"/>
                <w:sz w:val="24"/>
                <w:szCs w:val="24"/>
                <w:lang w:val="es-MX"/>
              </w:rPr>
              <w:t>anual de</w:t>
            </w:r>
            <w:r w:rsidR="00964E98">
              <w:rPr>
                <w:rFonts w:ascii="Candara" w:hAnsi="Candara"/>
                <w:sz w:val="24"/>
                <w:szCs w:val="24"/>
                <w:lang w:val="es-MX"/>
              </w:rPr>
              <w:t xml:space="preserve">l </w:t>
            </w:r>
            <w:r w:rsidR="0077621C">
              <w:rPr>
                <w:rFonts w:ascii="Candara" w:hAnsi="Candara"/>
                <w:sz w:val="24"/>
                <w:szCs w:val="24"/>
                <w:lang w:val="es-MX"/>
              </w:rPr>
              <w:t>6.</w:t>
            </w:r>
            <w:r w:rsidR="0093118D">
              <w:rPr>
                <w:rFonts w:ascii="Candara" w:hAnsi="Candara"/>
                <w:sz w:val="24"/>
                <w:szCs w:val="24"/>
                <w:lang w:val="es-MX"/>
              </w:rPr>
              <w:t>7</w:t>
            </w:r>
            <w:r w:rsidR="00964E98">
              <w:rPr>
                <w:rFonts w:ascii="Candara" w:hAnsi="Candara"/>
                <w:sz w:val="24"/>
                <w:szCs w:val="24"/>
                <w:lang w:val="es-MX"/>
              </w:rPr>
              <w:t xml:space="preserve">%, </w:t>
            </w:r>
            <w:r w:rsidR="00AE6362">
              <w:rPr>
                <w:rFonts w:ascii="Candara" w:hAnsi="Candara"/>
                <w:sz w:val="24"/>
                <w:szCs w:val="24"/>
                <w:lang w:val="es-MX"/>
              </w:rPr>
              <w:t>equivalentes a</w:t>
            </w:r>
            <w:r w:rsidRPr="007F50E2">
              <w:rPr>
                <w:rFonts w:ascii="Candara" w:hAnsi="Candara"/>
                <w:sz w:val="24"/>
                <w:szCs w:val="24"/>
                <w:lang w:val="es-MX"/>
              </w:rPr>
              <w:t xml:space="preserve"> </w:t>
            </w:r>
            <w:r w:rsidR="00D52007">
              <w:rPr>
                <w:rFonts w:ascii="Candara" w:hAnsi="Candara"/>
                <w:sz w:val="24"/>
                <w:szCs w:val="24"/>
                <w:lang w:val="es-MX"/>
              </w:rPr>
              <w:t>$</w:t>
            </w:r>
            <w:r w:rsidR="0077621C">
              <w:rPr>
                <w:rFonts w:ascii="Candara" w:hAnsi="Candara"/>
                <w:sz w:val="24"/>
                <w:szCs w:val="24"/>
                <w:lang w:val="es-MX"/>
              </w:rPr>
              <w:t>4</w:t>
            </w:r>
            <w:r w:rsidR="0093118D">
              <w:rPr>
                <w:rFonts w:ascii="Candara" w:hAnsi="Candara"/>
                <w:sz w:val="24"/>
                <w:szCs w:val="24"/>
                <w:lang w:val="es-MX"/>
              </w:rPr>
              <w:t>10.0</w:t>
            </w:r>
            <w:r w:rsidRPr="007F50E2">
              <w:rPr>
                <w:rFonts w:ascii="Candara" w:hAnsi="Candara"/>
                <w:sz w:val="24"/>
                <w:szCs w:val="24"/>
                <w:lang w:val="es-MX"/>
              </w:rPr>
              <w:t xml:space="preserve"> millones; este resultado obedece a</w:t>
            </w:r>
            <w:r w:rsidR="00623B1D">
              <w:rPr>
                <w:rFonts w:ascii="Candara" w:hAnsi="Candara"/>
                <w:sz w:val="24"/>
                <w:szCs w:val="24"/>
                <w:lang w:val="es-MX"/>
              </w:rPr>
              <w:t>l</w:t>
            </w:r>
            <w:r w:rsidRPr="007F50E2">
              <w:rPr>
                <w:rFonts w:ascii="Candara" w:hAnsi="Candara"/>
                <w:sz w:val="24"/>
                <w:szCs w:val="24"/>
                <w:lang w:val="es-MX"/>
              </w:rPr>
              <w:t xml:space="preserve"> </w:t>
            </w:r>
            <w:r w:rsidR="00623B1D">
              <w:rPr>
                <w:rFonts w:ascii="Candara" w:hAnsi="Candara"/>
                <w:sz w:val="24"/>
                <w:szCs w:val="24"/>
                <w:lang w:val="es-MX"/>
              </w:rPr>
              <w:t xml:space="preserve">descenso </w:t>
            </w:r>
            <w:r w:rsidRPr="007F50E2">
              <w:rPr>
                <w:rFonts w:ascii="Candara" w:hAnsi="Candara"/>
                <w:sz w:val="24"/>
                <w:szCs w:val="24"/>
                <w:lang w:val="es-MX"/>
              </w:rPr>
              <w:t xml:space="preserve">en los Ingresos Tributarios </w:t>
            </w:r>
            <w:r w:rsidR="00B93D63">
              <w:rPr>
                <w:rFonts w:ascii="Candara" w:hAnsi="Candara"/>
                <w:sz w:val="24"/>
                <w:szCs w:val="24"/>
                <w:lang w:val="es-MX"/>
              </w:rPr>
              <w:t xml:space="preserve">en todos sus componentes </w:t>
            </w:r>
            <w:r w:rsidR="00964E98">
              <w:rPr>
                <w:rFonts w:ascii="Candara" w:hAnsi="Candara"/>
                <w:sz w:val="24"/>
                <w:szCs w:val="24"/>
                <w:lang w:val="es-MX"/>
              </w:rPr>
              <w:t>con una variación</w:t>
            </w:r>
            <w:r w:rsidRPr="007F50E2">
              <w:rPr>
                <w:rFonts w:ascii="Candara" w:hAnsi="Candara"/>
                <w:sz w:val="24"/>
                <w:szCs w:val="24"/>
                <w:lang w:val="es-MX"/>
              </w:rPr>
              <w:t xml:space="preserve"> de</w:t>
            </w:r>
            <w:r w:rsidR="00343303">
              <w:rPr>
                <w:rFonts w:ascii="Candara" w:hAnsi="Candara"/>
                <w:sz w:val="24"/>
                <w:szCs w:val="24"/>
                <w:lang w:val="es-MX"/>
              </w:rPr>
              <w:t xml:space="preserve"> -</w:t>
            </w:r>
            <w:r w:rsidRPr="007F50E2">
              <w:rPr>
                <w:rFonts w:ascii="Candara" w:hAnsi="Candara"/>
                <w:sz w:val="24"/>
                <w:szCs w:val="24"/>
                <w:lang w:val="es-MX"/>
              </w:rPr>
              <w:t>$</w:t>
            </w:r>
            <w:r w:rsidR="0077621C">
              <w:rPr>
                <w:rFonts w:ascii="Candara" w:hAnsi="Candara"/>
                <w:sz w:val="24"/>
                <w:szCs w:val="24"/>
                <w:lang w:val="es-MX"/>
              </w:rPr>
              <w:t>2</w:t>
            </w:r>
            <w:r w:rsidR="0093118D">
              <w:rPr>
                <w:rFonts w:ascii="Candara" w:hAnsi="Candara"/>
                <w:sz w:val="24"/>
                <w:szCs w:val="24"/>
                <w:lang w:val="es-MX"/>
              </w:rPr>
              <w:t>88.1</w:t>
            </w:r>
            <w:r w:rsidR="00D55CD7" w:rsidRPr="007F50E2">
              <w:rPr>
                <w:rFonts w:ascii="Candara" w:hAnsi="Candara"/>
                <w:sz w:val="24"/>
                <w:szCs w:val="24"/>
                <w:lang w:val="es-MX"/>
              </w:rPr>
              <w:t xml:space="preserve"> </w:t>
            </w:r>
            <w:r w:rsidRPr="007F50E2">
              <w:rPr>
                <w:rFonts w:ascii="Candara" w:hAnsi="Candara"/>
                <w:sz w:val="24"/>
                <w:szCs w:val="24"/>
                <w:lang w:val="es-MX"/>
              </w:rPr>
              <w:t xml:space="preserve">millones. Como porcentaje del PIB los ingresos totales representaron un </w:t>
            </w:r>
            <w:r w:rsidR="0077621C">
              <w:rPr>
                <w:rFonts w:ascii="Candara" w:hAnsi="Candara"/>
                <w:sz w:val="24"/>
                <w:szCs w:val="24"/>
                <w:lang w:val="es-MX"/>
              </w:rPr>
              <w:t>22.7</w:t>
            </w:r>
            <w:r w:rsidRPr="007F50E2">
              <w:rPr>
                <w:rFonts w:ascii="Candara" w:hAnsi="Candara"/>
                <w:sz w:val="24"/>
                <w:szCs w:val="24"/>
                <w:lang w:val="es-MX"/>
              </w:rPr>
              <w:t xml:space="preserve">%, </w:t>
            </w:r>
            <w:r w:rsidR="00857FF8">
              <w:rPr>
                <w:rFonts w:ascii="Candara" w:hAnsi="Candara"/>
                <w:sz w:val="24"/>
                <w:szCs w:val="24"/>
                <w:lang w:val="es-MX"/>
              </w:rPr>
              <w:t>menor</w:t>
            </w:r>
            <w:r w:rsidRPr="007F50E2">
              <w:rPr>
                <w:rFonts w:ascii="Candara" w:hAnsi="Candara"/>
                <w:sz w:val="24"/>
                <w:szCs w:val="24"/>
                <w:lang w:val="es-MX"/>
              </w:rPr>
              <w:t xml:space="preserve"> en 0.</w:t>
            </w:r>
            <w:r w:rsidR="0077621C">
              <w:rPr>
                <w:rFonts w:ascii="Candara" w:hAnsi="Candara"/>
                <w:sz w:val="24"/>
                <w:szCs w:val="24"/>
                <w:lang w:val="es-MX"/>
              </w:rPr>
              <w:t>1</w:t>
            </w:r>
            <w:r w:rsidR="00623B1D">
              <w:rPr>
                <w:rFonts w:ascii="Candara" w:hAnsi="Candara"/>
                <w:sz w:val="24"/>
                <w:szCs w:val="24"/>
                <w:lang w:val="es-MX"/>
              </w:rPr>
              <w:t xml:space="preserve"> puntos </w:t>
            </w:r>
            <w:r w:rsidRPr="007F50E2">
              <w:rPr>
                <w:rFonts w:ascii="Candara" w:hAnsi="Candara"/>
                <w:sz w:val="24"/>
                <w:szCs w:val="24"/>
                <w:lang w:val="es-MX"/>
              </w:rPr>
              <w:t xml:space="preserve">con respecto al mes de </w:t>
            </w:r>
            <w:r w:rsidR="006854AC">
              <w:rPr>
                <w:rFonts w:ascii="Candara" w:hAnsi="Candara"/>
                <w:sz w:val="24"/>
                <w:szCs w:val="24"/>
                <w:lang w:val="es-MX"/>
              </w:rPr>
              <w:t>diciembre</w:t>
            </w:r>
            <w:r w:rsidRPr="007F50E2">
              <w:rPr>
                <w:rFonts w:ascii="Candara" w:hAnsi="Candara"/>
                <w:sz w:val="24"/>
                <w:szCs w:val="24"/>
                <w:lang w:val="es-MX"/>
              </w:rPr>
              <w:t xml:space="preserve"> del año anterior.</w:t>
            </w:r>
          </w:p>
          <w:p w:rsidR="00042C94" w:rsidRPr="00BF745F" w:rsidRDefault="00042C94" w:rsidP="004A685A">
            <w:pPr>
              <w:jc w:val="both"/>
              <w:rPr>
                <w:rFonts w:ascii="Candara" w:hAnsi="Candara"/>
                <w:sz w:val="16"/>
                <w:szCs w:val="16"/>
                <w:lang w:val="es-MX"/>
              </w:rPr>
            </w:pPr>
          </w:p>
          <w:p w:rsidR="00D540FA" w:rsidRDefault="00D540FA" w:rsidP="00D55CD7">
            <w:pPr>
              <w:jc w:val="both"/>
              <w:rPr>
                <w:rFonts w:ascii="Candara" w:hAnsi="Candara"/>
                <w:sz w:val="24"/>
                <w:szCs w:val="24"/>
                <w:lang w:val="es-MX"/>
              </w:rPr>
            </w:pPr>
            <w:r w:rsidRPr="007F50E2">
              <w:rPr>
                <w:rFonts w:ascii="Candara" w:hAnsi="Candara"/>
                <w:sz w:val="24"/>
                <w:szCs w:val="24"/>
                <w:lang w:val="es-MX"/>
              </w:rPr>
              <w:t xml:space="preserve">Gráfico 1: Evolución de los Ingresos Totales del SPNF </w:t>
            </w:r>
            <w:r w:rsidR="00F05512" w:rsidRPr="007F50E2">
              <w:rPr>
                <w:rFonts w:ascii="Candara" w:hAnsi="Candara"/>
                <w:sz w:val="24"/>
                <w:szCs w:val="24"/>
                <w:lang w:val="es-MX"/>
              </w:rPr>
              <w:t xml:space="preserve">a </w:t>
            </w:r>
            <w:r w:rsidR="006854AC">
              <w:rPr>
                <w:rFonts w:ascii="Candara" w:hAnsi="Candara"/>
                <w:sz w:val="24"/>
                <w:szCs w:val="24"/>
                <w:lang w:val="es-MX"/>
              </w:rPr>
              <w:t>diciembre</w:t>
            </w:r>
            <w:r w:rsidRPr="007F50E2">
              <w:rPr>
                <w:rFonts w:ascii="Candara" w:hAnsi="Candara"/>
                <w:sz w:val="24"/>
                <w:szCs w:val="24"/>
                <w:lang w:val="es-MX"/>
              </w:rPr>
              <w:t xml:space="preserve"> 20</w:t>
            </w:r>
            <w:r w:rsidR="00F616D4">
              <w:rPr>
                <w:rFonts w:ascii="Candara" w:hAnsi="Candara"/>
                <w:sz w:val="24"/>
                <w:szCs w:val="24"/>
                <w:lang w:val="es-MX"/>
              </w:rPr>
              <w:t>14</w:t>
            </w:r>
            <w:r w:rsidRPr="007F50E2">
              <w:rPr>
                <w:rFonts w:ascii="Candara" w:hAnsi="Candara"/>
                <w:sz w:val="24"/>
                <w:szCs w:val="24"/>
                <w:lang w:val="es-MX"/>
              </w:rPr>
              <w:t xml:space="preserve"> -20</w:t>
            </w:r>
            <w:r w:rsidR="00F616D4">
              <w:rPr>
                <w:rFonts w:ascii="Candara" w:hAnsi="Candara"/>
                <w:sz w:val="24"/>
                <w:szCs w:val="24"/>
                <w:lang w:val="es-MX"/>
              </w:rPr>
              <w:t>20</w:t>
            </w:r>
          </w:p>
          <w:p w:rsidR="00BF745F" w:rsidRPr="00BF745F" w:rsidRDefault="00BF745F" w:rsidP="00D55CD7">
            <w:pPr>
              <w:jc w:val="both"/>
              <w:rPr>
                <w:rFonts w:ascii="Candara" w:hAnsi="Candara"/>
                <w:sz w:val="16"/>
                <w:szCs w:val="16"/>
                <w:lang w:val="es-MX"/>
              </w:rPr>
            </w:pPr>
          </w:p>
          <w:p w:rsidR="00986C83" w:rsidRPr="00BF745F" w:rsidRDefault="00AD15BE" w:rsidP="006B1211">
            <w:pPr>
              <w:jc w:val="center"/>
              <w:rPr>
                <w:rFonts w:ascii="Candara" w:hAnsi="Candara"/>
                <w:sz w:val="16"/>
                <w:szCs w:val="16"/>
                <w:lang w:val="es-MX"/>
              </w:rPr>
            </w:pPr>
            <w:r w:rsidRPr="00AD15BE">
              <w:rPr>
                <w:rFonts w:ascii="Candara" w:hAnsi="Candara"/>
                <w:noProof/>
                <w:sz w:val="16"/>
                <w:szCs w:val="16"/>
                <w:lang w:val="es-MX"/>
              </w:rPr>
              <w:drawing>
                <wp:inline distT="0" distB="0" distL="0" distR="0" wp14:anchorId="5DE33143" wp14:editId="33165FC4">
                  <wp:extent cx="4894580" cy="2812415"/>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4580" cy="2812415"/>
                          </a:xfrm>
                          <a:prstGeom prst="rect">
                            <a:avLst/>
                          </a:prstGeom>
                          <a:noFill/>
                          <a:ln>
                            <a:noFill/>
                          </a:ln>
                        </pic:spPr>
                      </pic:pic>
                    </a:graphicData>
                  </a:graphic>
                </wp:inline>
              </w:drawing>
            </w: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8"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c>
          <w:tcPr>
            <w:tcW w:w="259" w:type="dxa"/>
            <w:tcBorders>
              <w:top w:val="nil"/>
              <w:left w:val="nil"/>
              <w:bottom w:val="nil"/>
              <w:right w:val="nil"/>
            </w:tcBorders>
            <w:shd w:val="clear" w:color="000000" w:fill="FFFFFF"/>
            <w:noWrap/>
            <w:vAlign w:val="bottom"/>
          </w:tcPr>
          <w:p w:rsidR="000F2598" w:rsidRPr="007F50E2" w:rsidRDefault="000F2598" w:rsidP="004A685A">
            <w:pPr>
              <w:jc w:val="both"/>
              <w:rPr>
                <w:rFonts w:ascii="Candara" w:hAnsi="Candara"/>
                <w:sz w:val="24"/>
                <w:szCs w:val="24"/>
                <w:lang w:val="es-MX"/>
              </w:rPr>
            </w:pPr>
          </w:p>
        </w:tc>
      </w:tr>
    </w:tbl>
    <w:p w:rsidR="00BE54F5" w:rsidRPr="00714E28" w:rsidRDefault="009B117C" w:rsidP="009B117C">
      <w:pPr>
        <w:pStyle w:val="Heading3"/>
        <w:rPr>
          <w:rFonts w:ascii="Candara" w:hAnsi="Candara"/>
          <w:b/>
          <w:lang w:val="es-MX"/>
        </w:rPr>
      </w:pPr>
      <w:bookmarkStart w:id="13" w:name="_Toc411843461"/>
      <w:bookmarkStart w:id="14" w:name="_Toc56581205"/>
      <w:bookmarkStart w:id="15" w:name="_Toc64531465"/>
      <w:bookmarkStart w:id="16" w:name="_Toc308681662"/>
      <w:bookmarkStart w:id="17" w:name="_Toc319049208"/>
      <w:bookmarkStart w:id="18" w:name="_Toc388257453"/>
      <w:r w:rsidRPr="00714E28">
        <w:rPr>
          <w:rFonts w:ascii="Candara" w:hAnsi="Candara"/>
          <w:b/>
          <w:lang w:val="es-MX"/>
        </w:rPr>
        <w:lastRenderedPageBreak/>
        <w:t xml:space="preserve">1.1 </w:t>
      </w:r>
      <w:r w:rsidR="00BE54F5" w:rsidRPr="00714E28">
        <w:rPr>
          <w:rFonts w:ascii="Candara" w:hAnsi="Candara"/>
          <w:b/>
          <w:lang w:val="es-MX"/>
        </w:rPr>
        <w:t>Ingresos tributarios</w:t>
      </w:r>
      <w:bookmarkEnd w:id="13"/>
      <w:bookmarkEnd w:id="14"/>
      <w:r w:rsidR="00912173">
        <w:rPr>
          <w:rFonts w:ascii="Candara" w:hAnsi="Candara"/>
          <w:b/>
          <w:lang w:val="es-MX"/>
        </w:rPr>
        <w:t xml:space="preserve"> y Contribuciones Especiales</w:t>
      </w:r>
      <w:bookmarkEnd w:id="15"/>
    </w:p>
    <w:p w:rsidR="00BE54F5" w:rsidRPr="00BF745F" w:rsidRDefault="00BE54F5" w:rsidP="00BE54F5">
      <w:pPr>
        <w:jc w:val="both"/>
        <w:rPr>
          <w:rFonts w:ascii="Candara" w:hAnsi="Candara"/>
          <w:sz w:val="16"/>
          <w:szCs w:val="16"/>
          <w:lang w:val="es-MX"/>
        </w:rPr>
      </w:pPr>
    </w:p>
    <w:p w:rsidR="001C0639" w:rsidRDefault="001C0639" w:rsidP="00042C94">
      <w:pPr>
        <w:tabs>
          <w:tab w:val="left" w:pos="284"/>
        </w:tabs>
        <w:jc w:val="both"/>
        <w:rPr>
          <w:rFonts w:ascii="Candara" w:hAnsi="Candara" w:cs="Arial"/>
          <w:sz w:val="24"/>
          <w:szCs w:val="24"/>
          <w:lang w:val="es-SV"/>
        </w:rPr>
      </w:pPr>
      <w:r w:rsidRPr="007F50E2">
        <w:rPr>
          <w:rFonts w:ascii="Candara" w:hAnsi="Candara" w:cs="Arial"/>
          <w:sz w:val="24"/>
          <w:szCs w:val="24"/>
        </w:rPr>
        <w:t>La recaudación tributaria alcanzó un monto de $</w:t>
      </w:r>
      <w:r w:rsidR="0077621C">
        <w:rPr>
          <w:rFonts w:ascii="Candara" w:hAnsi="Candara" w:cs="Arial"/>
          <w:sz w:val="24"/>
          <w:szCs w:val="24"/>
        </w:rPr>
        <w:t>4,6</w:t>
      </w:r>
      <w:r w:rsidR="0093118D">
        <w:rPr>
          <w:rFonts w:ascii="Candara" w:hAnsi="Candara" w:cs="Arial"/>
          <w:sz w:val="24"/>
          <w:szCs w:val="24"/>
        </w:rPr>
        <w:t>25.8</w:t>
      </w:r>
      <w:r w:rsidRPr="007F50E2">
        <w:rPr>
          <w:rFonts w:ascii="Candara" w:hAnsi="Candara" w:cs="Arial"/>
          <w:sz w:val="24"/>
          <w:szCs w:val="24"/>
          <w:lang w:val="es-419"/>
        </w:rPr>
        <w:t xml:space="preserve"> </w:t>
      </w:r>
      <w:r w:rsidRPr="007F50E2">
        <w:rPr>
          <w:rFonts w:ascii="Candara" w:hAnsi="Candara" w:cs="Arial"/>
          <w:sz w:val="24"/>
          <w:szCs w:val="24"/>
        </w:rPr>
        <w:t xml:space="preserve">millones, mostrando </w:t>
      </w:r>
      <w:r w:rsidRPr="007F50E2">
        <w:rPr>
          <w:rFonts w:ascii="Candara" w:hAnsi="Candara" w:cs="Arial"/>
          <w:sz w:val="24"/>
          <w:szCs w:val="24"/>
          <w:lang w:val="es-419"/>
        </w:rPr>
        <w:t>un</w:t>
      </w:r>
      <w:r w:rsidR="00711779">
        <w:rPr>
          <w:rFonts w:ascii="Candara" w:hAnsi="Candara" w:cs="Arial"/>
          <w:sz w:val="24"/>
          <w:szCs w:val="24"/>
          <w:lang w:val="es-419"/>
        </w:rPr>
        <w:t>a</w:t>
      </w:r>
      <w:r w:rsidRPr="007F50E2">
        <w:rPr>
          <w:rFonts w:ascii="Candara" w:hAnsi="Candara" w:cs="Arial"/>
          <w:sz w:val="24"/>
          <w:szCs w:val="24"/>
        </w:rPr>
        <w:t xml:space="preserve"> </w:t>
      </w:r>
      <w:r w:rsidR="00711779">
        <w:rPr>
          <w:rFonts w:ascii="Candara" w:hAnsi="Candara" w:cs="Arial"/>
          <w:sz w:val="24"/>
          <w:szCs w:val="24"/>
        </w:rPr>
        <w:t xml:space="preserve">reducción </w:t>
      </w:r>
      <w:r w:rsidRPr="007F50E2">
        <w:rPr>
          <w:rFonts w:ascii="Candara" w:hAnsi="Candara" w:cs="Arial"/>
          <w:sz w:val="24"/>
          <w:szCs w:val="24"/>
        </w:rPr>
        <w:t xml:space="preserve">anual de </w:t>
      </w:r>
      <w:r w:rsidR="00711779">
        <w:rPr>
          <w:rFonts w:ascii="Candara" w:hAnsi="Candara" w:cs="Arial"/>
          <w:sz w:val="24"/>
          <w:szCs w:val="24"/>
        </w:rPr>
        <w:t>-</w:t>
      </w:r>
      <w:r w:rsidR="0093118D">
        <w:rPr>
          <w:rFonts w:ascii="Candara" w:hAnsi="Candara" w:cs="Arial"/>
          <w:sz w:val="24"/>
          <w:szCs w:val="24"/>
        </w:rPr>
        <w:t>5.9</w:t>
      </w:r>
      <w:r w:rsidRPr="007F50E2">
        <w:rPr>
          <w:rFonts w:ascii="Candara" w:hAnsi="Candara" w:cs="Arial"/>
          <w:sz w:val="24"/>
          <w:szCs w:val="24"/>
          <w:lang w:val="es-419"/>
        </w:rPr>
        <w:t>%</w:t>
      </w:r>
      <w:r w:rsidRPr="007F50E2">
        <w:rPr>
          <w:rFonts w:ascii="Candara" w:hAnsi="Candara" w:cs="Arial"/>
          <w:sz w:val="24"/>
          <w:szCs w:val="24"/>
        </w:rPr>
        <w:t>,</w:t>
      </w:r>
      <w:r w:rsidRPr="007F50E2">
        <w:rPr>
          <w:rFonts w:ascii="Candara" w:hAnsi="Candara" w:cs="Arial"/>
          <w:sz w:val="24"/>
          <w:szCs w:val="24"/>
          <w:lang w:val="es-419"/>
        </w:rPr>
        <w:t xml:space="preserve"> </w:t>
      </w:r>
      <w:r w:rsidR="00711779">
        <w:rPr>
          <w:rFonts w:ascii="Candara" w:hAnsi="Candara" w:cs="Arial"/>
          <w:sz w:val="24"/>
          <w:szCs w:val="24"/>
          <w:lang w:val="es-419"/>
        </w:rPr>
        <w:t xml:space="preserve">disminuyendo en </w:t>
      </w:r>
      <w:r w:rsidRPr="007F50E2">
        <w:rPr>
          <w:rFonts w:ascii="Candara" w:hAnsi="Candara" w:cs="Arial"/>
          <w:sz w:val="24"/>
          <w:szCs w:val="24"/>
          <w:lang w:val="es-419"/>
        </w:rPr>
        <w:t>$</w:t>
      </w:r>
      <w:r w:rsidR="0077621C">
        <w:rPr>
          <w:rFonts w:ascii="Candara" w:hAnsi="Candara" w:cs="Arial"/>
          <w:sz w:val="24"/>
          <w:szCs w:val="24"/>
          <w:lang w:val="es-419"/>
        </w:rPr>
        <w:t>2</w:t>
      </w:r>
      <w:r w:rsidR="0093118D">
        <w:rPr>
          <w:rFonts w:ascii="Candara" w:hAnsi="Candara" w:cs="Arial"/>
          <w:sz w:val="24"/>
          <w:szCs w:val="24"/>
          <w:lang w:val="es-419"/>
        </w:rPr>
        <w:t>88.1</w:t>
      </w:r>
      <w:r w:rsidRPr="007F50E2">
        <w:rPr>
          <w:rFonts w:ascii="Candara" w:hAnsi="Candara" w:cs="Arial"/>
          <w:sz w:val="24"/>
          <w:szCs w:val="24"/>
          <w:lang w:val="es-419"/>
        </w:rPr>
        <w:t xml:space="preserve"> millones</w:t>
      </w:r>
      <w:r w:rsidR="00711779">
        <w:rPr>
          <w:rFonts w:ascii="Candara" w:hAnsi="Candara" w:cs="Arial"/>
          <w:sz w:val="24"/>
          <w:szCs w:val="24"/>
          <w:lang w:val="es-419"/>
        </w:rPr>
        <w:t xml:space="preserve"> en comparaci</w:t>
      </w:r>
      <w:r w:rsidR="00711779" w:rsidRPr="00711779">
        <w:rPr>
          <w:rFonts w:ascii="Candara" w:hAnsi="Candara" w:cs="Arial"/>
          <w:sz w:val="24"/>
          <w:szCs w:val="24"/>
          <w:lang w:val="es-419"/>
        </w:rPr>
        <w:t>ó</w:t>
      </w:r>
      <w:r w:rsidR="00711779">
        <w:rPr>
          <w:rFonts w:ascii="Candara" w:hAnsi="Candara" w:cs="Arial"/>
          <w:sz w:val="24"/>
          <w:szCs w:val="24"/>
          <w:lang w:val="es-419"/>
        </w:rPr>
        <w:t xml:space="preserve">n a </w:t>
      </w:r>
      <w:r w:rsidRPr="007F50E2">
        <w:rPr>
          <w:rFonts w:ascii="Candara" w:hAnsi="Candara" w:cs="Arial"/>
          <w:sz w:val="24"/>
          <w:szCs w:val="24"/>
          <w:lang w:val="es-419"/>
        </w:rPr>
        <w:t xml:space="preserve">la cifra alcanzada en el </w:t>
      </w:r>
      <w:r w:rsidR="00EA68BB">
        <w:rPr>
          <w:rFonts w:ascii="Candara" w:hAnsi="Candara" w:cs="Arial"/>
          <w:sz w:val="24"/>
          <w:szCs w:val="24"/>
          <w:lang w:val="es-SV"/>
        </w:rPr>
        <w:t xml:space="preserve">mismo período del </w:t>
      </w:r>
      <w:r w:rsidRPr="007F50E2">
        <w:rPr>
          <w:rFonts w:ascii="Candara" w:hAnsi="Candara" w:cs="Arial"/>
          <w:sz w:val="24"/>
          <w:szCs w:val="24"/>
          <w:lang w:val="es-419"/>
        </w:rPr>
        <w:t xml:space="preserve">año </w:t>
      </w:r>
      <w:r w:rsidR="00042C94">
        <w:rPr>
          <w:rFonts w:ascii="Candara" w:hAnsi="Candara" w:cs="Arial"/>
          <w:sz w:val="24"/>
          <w:szCs w:val="24"/>
          <w:lang w:val="es-419"/>
        </w:rPr>
        <w:t>2019</w:t>
      </w:r>
      <w:r w:rsidRPr="007F50E2">
        <w:rPr>
          <w:rFonts w:ascii="Candara" w:hAnsi="Candara" w:cs="Arial"/>
          <w:sz w:val="24"/>
          <w:szCs w:val="24"/>
          <w:lang w:val="es-419"/>
        </w:rPr>
        <w:t>.</w:t>
      </w:r>
      <w:r w:rsidRPr="007F50E2">
        <w:rPr>
          <w:rFonts w:ascii="Candara" w:hAnsi="Candara" w:cs="Arial"/>
          <w:sz w:val="24"/>
          <w:szCs w:val="24"/>
        </w:rPr>
        <w:t xml:space="preserve"> Dicho comportamiento </w:t>
      </w:r>
      <w:r w:rsidRPr="007F50E2">
        <w:rPr>
          <w:rFonts w:ascii="Candara" w:hAnsi="Candara" w:cs="Arial"/>
          <w:sz w:val="24"/>
          <w:szCs w:val="24"/>
          <w:lang w:val="es-419"/>
        </w:rPr>
        <w:t xml:space="preserve">se debe </w:t>
      </w:r>
      <w:bookmarkStart w:id="19" w:name="_Hlk48632922"/>
      <w:r w:rsidR="00711779">
        <w:rPr>
          <w:rFonts w:ascii="Candara" w:hAnsi="Candara" w:cs="Arial"/>
          <w:sz w:val="24"/>
          <w:szCs w:val="24"/>
          <w:lang w:val="es-419"/>
        </w:rPr>
        <w:t>a los efectos de la Pa</w:t>
      </w:r>
      <w:r w:rsidR="009F2797">
        <w:rPr>
          <w:rFonts w:ascii="Candara" w:hAnsi="Candara" w:cs="Arial"/>
          <w:sz w:val="24"/>
          <w:szCs w:val="24"/>
          <w:lang w:val="es-419"/>
        </w:rPr>
        <w:t>n</w:t>
      </w:r>
      <w:r w:rsidR="00711779">
        <w:rPr>
          <w:rFonts w:ascii="Candara" w:hAnsi="Candara" w:cs="Arial"/>
          <w:sz w:val="24"/>
          <w:szCs w:val="24"/>
          <w:lang w:val="es-419"/>
        </w:rPr>
        <w:t>demia COVID</w:t>
      </w:r>
      <w:r w:rsidR="00537002">
        <w:rPr>
          <w:rFonts w:ascii="Candara" w:hAnsi="Candara" w:cs="Arial"/>
          <w:sz w:val="24"/>
          <w:szCs w:val="24"/>
          <w:lang w:val="es-419"/>
        </w:rPr>
        <w:t>-19</w:t>
      </w:r>
      <w:r w:rsidR="00556938">
        <w:rPr>
          <w:rFonts w:ascii="Candara" w:hAnsi="Candara" w:cs="Arial"/>
          <w:sz w:val="24"/>
          <w:szCs w:val="24"/>
          <w:lang w:val="es-419"/>
        </w:rPr>
        <w:t>,</w:t>
      </w:r>
      <w:r w:rsidR="00D25541">
        <w:rPr>
          <w:rFonts w:ascii="Candara" w:hAnsi="Candara" w:cs="Arial"/>
          <w:sz w:val="24"/>
          <w:szCs w:val="24"/>
          <w:lang w:val="es-419"/>
        </w:rPr>
        <w:t xml:space="preserve"> </w:t>
      </w:r>
      <w:r w:rsidR="00556938">
        <w:rPr>
          <w:rFonts w:ascii="Candara" w:hAnsi="Candara" w:cs="Arial"/>
          <w:sz w:val="24"/>
          <w:szCs w:val="24"/>
          <w:lang w:val="es-419"/>
        </w:rPr>
        <w:t>destacando</w:t>
      </w:r>
      <w:r w:rsidR="00AE6362">
        <w:rPr>
          <w:rFonts w:ascii="Candara" w:hAnsi="Candara" w:cs="Arial"/>
          <w:sz w:val="24"/>
          <w:szCs w:val="24"/>
          <w:lang w:val="es-419"/>
        </w:rPr>
        <w:t xml:space="preserve">: </w:t>
      </w:r>
      <w:r w:rsidR="00556938">
        <w:rPr>
          <w:rFonts w:ascii="Candara" w:hAnsi="Candara" w:cs="Arial"/>
          <w:sz w:val="24"/>
          <w:szCs w:val="24"/>
          <w:lang w:val="es-419"/>
        </w:rPr>
        <w:t xml:space="preserve">el </w:t>
      </w:r>
      <w:r w:rsidR="00AE6362">
        <w:rPr>
          <w:rFonts w:ascii="Candara" w:hAnsi="Candara" w:cs="Arial"/>
          <w:sz w:val="24"/>
          <w:szCs w:val="24"/>
          <w:lang w:val="es-419"/>
        </w:rPr>
        <w:t>confinamiento</w:t>
      </w:r>
      <w:r w:rsidR="00D25541">
        <w:rPr>
          <w:rFonts w:ascii="Candara" w:hAnsi="Candara" w:cs="Arial"/>
          <w:sz w:val="24"/>
          <w:szCs w:val="24"/>
          <w:lang w:val="es-419"/>
        </w:rPr>
        <w:t xml:space="preserve"> por la cuarentena</w:t>
      </w:r>
      <w:r w:rsidR="009F2797">
        <w:rPr>
          <w:rFonts w:ascii="Candara" w:hAnsi="Candara" w:cs="Arial"/>
          <w:sz w:val="24"/>
          <w:szCs w:val="24"/>
          <w:lang w:val="es-419"/>
        </w:rPr>
        <w:t xml:space="preserve">, reducción de las actividades económicas y </w:t>
      </w:r>
      <w:r w:rsidR="00AE6362">
        <w:rPr>
          <w:rFonts w:ascii="Candara" w:hAnsi="Candara" w:cs="Arial"/>
          <w:sz w:val="24"/>
          <w:szCs w:val="24"/>
          <w:lang w:val="es-419"/>
        </w:rPr>
        <w:t xml:space="preserve">la reducción en </w:t>
      </w:r>
      <w:r w:rsidR="009F2797">
        <w:rPr>
          <w:rFonts w:ascii="Candara" w:hAnsi="Candara" w:cs="Arial"/>
          <w:sz w:val="24"/>
          <w:szCs w:val="24"/>
          <w:lang w:val="es-419"/>
        </w:rPr>
        <w:t>los niveles de comercio exterior</w:t>
      </w:r>
      <w:bookmarkEnd w:id="19"/>
      <w:r w:rsidR="005D3504">
        <w:rPr>
          <w:rFonts w:ascii="Candara" w:hAnsi="Candara" w:cs="Arial"/>
          <w:sz w:val="24"/>
          <w:szCs w:val="24"/>
          <w:lang w:val="es-419"/>
        </w:rPr>
        <w:t xml:space="preserve">, </w:t>
      </w:r>
      <w:r w:rsidR="00556938">
        <w:rPr>
          <w:rFonts w:ascii="Candara" w:hAnsi="Candara" w:cs="Arial"/>
          <w:sz w:val="24"/>
          <w:szCs w:val="24"/>
          <w:lang w:val="es-419"/>
        </w:rPr>
        <w:t xml:space="preserve">todo lo anterior </w:t>
      </w:r>
      <w:r w:rsidR="004D52F8">
        <w:rPr>
          <w:rFonts w:ascii="Candara" w:hAnsi="Candara" w:cs="Arial"/>
          <w:sz w:val="24"/>
          <w:szCs w:val="24"/>
          <w:lang w:val="es-419"/>
        </w:rPr>
        <w:t xml:space="preserve">ha </w:t>
      </w:r>
      <w:r w:rsidR="005D3504">
        <w:rPr>
          <w:rFonts w:ascii="Candara" w:hAnsi="Candara" w:cs="Arial"/>
          <w:sz w:val="24"/>
          <w:szCs w:val="24"/>
          <w:lang w:val="es-419"/>
        </w:rPr>
        <w:t xml:space="preserve">provocado pérdidas </w:t>
      </w:r>
      <w:r w:rsidR="00AE6362">
        <w:rPr>
          <w:rFonts w:ascii="Candara" w:hAnsi="Candara" w:cs="Arial"/>
          <w:sz w:val="24"/>
          <w:szCs w:val="24"/>
          <w:lang w:val="es-419"/>
        </w:rPr>
        <w:t xml:space="preserve">en los ingresos tributarios </w:t>
      </w:r>
      <w:r w:rsidRPr="007F50E2">
        <w:rPr>
          <w:rFonts w:ascii="Candara" w:hAnsi="Candara" w:cs="Arial"/>
          <w:sz w:val="24"/>
          <w:szCs w:val="24"/>
          <w:lang w:val="es-SV"/>
        </w:rPr>
        <w:t xml:space="preserve">principalmente </w:t>
      </w:r>
      <w:r w:rsidRPr="007F50E2">
        <w:rPr>
          <w:rFonts w:ascii="Candara" w:hAnsi="Candara" w:cs="Arial"/>
          <w:sz w:val="24"/>
          <w:szCs w:val="24"/>
          <w:lang w:val="es-419"/>
        </w:rPr>
        <w:t xml:space="preserve">en las </w:t>
      </w:r>
      <w:r w:rsidR="00556938">
        <w:rPr>
          <w:rFonts w:ascii="Candara" w:hAnsi="Candara" w:cs="Arial"/>
          <w:sz w:val="24"/>
          <w:szCs w:val="24"/>
          <w:lang w:val="es-419"/>
        </w:rPr>
        <w:t xml:space="preserve">tres principales fuentes de recaudación: </w:t>
      </w:r>
      <w:r w:rsidRPr="007F50E2">
        <w:rPr>
          <w:rFonts w:ascii="Candara" w:hAnsi="Candara" w:cs="Arial"/>
          <w:sz w:val="24"/>
          <w:szCs w:val="24"/>
          <w:lang w:val="es-SV"/>
        </w:rPr>
        <w:t xml:space="preserve">el </w:t>
      </w:r>
      <w:r w:rsidRPr="007F50E2">
        <w:rPr>
          <w:rFonts w:ascii="Candara" w:hAnsi="Candara" w:cs="Arial"/>
          <w:sz w:val="24"/>
          <w:szCs w:val="24"/>
          <w:lang w:val="es-419"/>
        </w:rPr>
        <w:t xml:space="preserve">Impuesto al Valor Agregado (IVA) </w:t>
      </w:r>
      <w:r w:rsidRPr="007F50E2">
        <w:rPr>
          <w:rFonts w:ascii="Candara" w:hAnsi="Candara" w:cs="Arial"/>
          <w:sz w:val="24"/>
          <w:szCs w:val="24"/>
          <w:lang w:val="es-SV"/>
        </w:rPr>
        <w:t xml:space="preserve">en </w:t>
      </w:r>
      <w:r w:rsidR="00680090">
        <w:rPr>
          <w:rFonts w:ascii="Candara" w:hAnsi="Candara" w:cs="Arial"/>
          <w:sz w:val="24"/>
          <w:szCs w:val="24"/>
          <w:lang w:val="es-419"/>
        </w:rPr>
        <w:t>$</w:t>
      </w:r>
      <w:r w:rsidR="005D3504">
        <w:rPr>
          <w:rFonts w:ascii="Candara" w:hAnsi="Candara" w:cs="Arial"/>
          <w:sz w:val="24"/>
          <w:szCs w:val="24"/>
          <w:lang w:val="es-419"/>
        </w:rPr>
        <w:t>1</w:t>
      </w:r>
      <w:r w:rsidR="0093118D">
        <w:rPr>
          <w:rFonts w:ascii="Candara" w:hAnsi="Candara" w:cs="Arial"/>
          <w:sz w:val="24"/>
          <w:szCs w:val="24"/>
          <w:lang w:val="es-419"/>
        </w:rPr>
        <w:t>42.2</w:t>
      </w:r>
      <w:r w:rsidRPr="007F50E2">
        <w:rPr>
          <w:rFonts w:ascii="Candara" w:hAnsi="Candara" w:cs="Arial"/>
          <w:sz w:val="24"/>
          <w:szCs w:val="24"/>
          <w:lang w:val="es-419"/>
        </w:rPr>
        <w:t xml:space="preserve"> millones</w:t>
      </w:r>
      <w:r w:rsidR="004D52F8">
        <w:rPr>
          <w:rFonts w:ascii="Candara" w:hAnsi="Candara" w:cs="Arial"/>
          <w:sz w:val="24"/>
          <w:szCs w:val="24"/>
          <w:lang w:val="es-419"/>
        </w:rPr>
        <w:t>;</w:t>
      </w:r>
      <w:r w:rsidRPr="007F50E2">
        <w:rPr>
          <w:rFonts w:ascii="Candara" w:hAnsi="Candara" w:cs="Arial"/>
          <w:sz w:val="24"/>
          <w:szCs w:val="24"/>
          <w:lang w:val="es-SV"/>
        </w:rPr>
        <w:t xml:space="preserve"> </w:t>
      </w:r>
      <w:r w:rsidRPr="007F50E2">
        <w:rPr>
          <w:rFonts w:ascii="Candara" w:hAnsi="Candara" w:cs="Arial"/>
          <w:sz w:val="24"/>
          <w:szCs w:val="24"/>
          <w:lang w:val="es-419"/>
        </w:rPr>
        <w:t xml:space="preserve">el </w:t>
      </w:r>
      <w:r w:rsidRPr="007F50E2">
        <w:rPr>
          <w:rFonts w:ascii="Candara" w:hAnsi="Candara" w:cs="Arial"/>
          <w:sz w:val="24"/>
          <w:szCs w:val="24"/>
        </w:rPr>
        <w:t>Impuesto</w:t>
      </w:r>
      <w:r w:rsidRPr="007F50E2">
        <w:rPr>
          <w:rFonts w:ascii="Candara" w:hAnsi="Candara" w:cs="Arial"/>
          <w:sz w:val="24"/>
          <w:szCs w:val="24"/>
          <w:lang w:val="es-419"/>
        </w:rPr>
        <w:t xml:space="preserve"> sobre la Renta</w:t>
      </w:r>
      <w:r w:rsidR="004F4FBF">
        <w:rPr>
          <w:rFonts w:ascii="Candara" w:hAnsi="Candara" w:cs="Arial"/>
          <w:sz w:val="24"/>
          <w:szCs w:val="24"/>
          <w:lang w:val="es-419"/>
        </w:rPr>
        <w:t>,</w:t>
      </w:r>
      <w:r w:rsidRPr="007F50E2">
        <w:rPr>
          <w:rFonts w:ascii="Candara" w:hAnsi="Candara" w:cs="Arial"/>
          <w:sz w:val="24"/>
          <w:szCs w:val="24"/>
          <w:lang w:val="es-419"/>
        </w:rPr>
        <w:t xml:space="preserve"> $</w:t>
      </w:r>
      <w:r w:rsidR="0077621C">
        <w:rPr>
          <w:rFonts w:ascii="Candara" w:hAnsi="Candara" w:cs="Arial"/>
          <w:sz w:val="24"/>
          <w:szCs w:val="24"/>
          <w:lang w:val="es-419"/>
        </w:rPr>
        <w:t>26.</w:t>
      </w:r>
      <w:r w:rsidR="0093118D">
        <w:rPr>
          <w:rFonts w:ascii="Candara" w:hAnsi="Candara" w:cs="Arial"/>
          <w:sz w:val="24"/>
          <w:szCs w:val="24"/>
          <w:lang w:val="es-419"/>
        </w:rPr>
        <w:t>6</w:t>
      </w:r>
      <w:r w:rsidRPr="007F50E2">
        <w:rPr>
          <w:rFonts w:ascii="Candara" w:hAnsi="Candara" w:cs="Arial"/>
          <w:sz w:val="24"/>
          <w:szCs w:val="24"/>
          <w:lang w:val="es-419"/>
        </w:rPr>
        <w:t xml:space="preserve"> millones</w:t>
      </w:r>
      <w:r w:rsidR="005D3504">
        <w:rPr>
          <w:rFonts w:ascii="Candara" w:hAnsi="Candara" w:cs="Arial"/>
          <w:sz w:val="24"/>
          <w:szCs w:val="24"/>
          <w:lang w:val="es-419"/>
        </w:rPr>
        <w:t xml:space="preserve"> y </w:t>
      </w:r>
      <w:bookmarkStart w:id="20" w:name="_Hlk48633078"/>
      <w:r w:rsidR="005D3504" w:rsidRPr="005D3504">
        <w:rPr>
          <w:rFonts w:ascii="Candara" w:hAnsi="Candara" w:cs="Arial"/>
          <w:sz w:val="24"/>
          <w:szCs w:val="24"/>
          <w:lang w:val="es-419"/>
        </w:rPr>
        <w:t>por Derechos Arancelarios a la Importación</w:t>
      </w:r>
      <w:r w:rsidR="004D52F8">
        <w:rPr>
          <w:rFonts w:ascii="Candara" w:hAnsi="Candara" w:cs="Arial"/>
          <w:sz w:val="24"/>
          <w:szCs w:val="24"/>
          <w:lang w:val="es-419"/>
        </w:rPr>
        <w:t>,</w:t>
      </w:r>
      <w:r w:rsidR="005D3504">
        <w:rPr>
          <w:rFonts w:ascii="Candara" w:hAnsi="Candara" w:cs="Arial"/>
          <w:sz w:val="24"/>
          <w:szCs w:val="24"/>
          <w:lang w:val="es-419"/>
        </w:rPr>
        <w:t xml:space="preserve"> en $</w:t>
      </w:r>
      <w:r w:rsidR="00B93D63">
        <w:rPr>
          <w:rFonts w:ascii="Candara" w:hAnsi="Candara" w:cs="Arial"/>
          <w:sz w:val="24"/>
          <w:szCs w:val="24"/>
          <w:lang w:val="es-419"/>
        </w:rPr>
        <w:t>4</w:t>
      </w:r>
      <w:r w:rsidR="0093118D">
        <w:rPr>
          <w:rFonts w:ascii="Candara" w:hAnsi="Candara" w:cs="Arial"/>
          <w:sz w:val="24"/>
          <w:szCs w:val="24"/>
          <w:lang w:val="es-419"/>
        </w:rPr>
        <w:t>5.3</w:t>
      </w:r>
      <w:r w:rsidR="005D3504">
        <w:rPr>
          <w:rFonts w:ascii="Candara" w:hAnsi="Candara" w:cs="Arial"/>
          <w:sz w:val="24"/>
          <w:szCs w:val="24"/>
          <w:lang w:val="es-419"/>
        </w:rPr>
        <w:t xml:space="preserve"> millones</w:t>
      </w:r>
      <w:bookmarkEnd w:id="20"/>
      <w:r w:rsidR="007E4F3D" w:rsidRPr="007E4F3D">
        <w:rPr>
          <w:rFonts w:ascii="Candara" w:hAnsi="Candara" w:cs="Arial"/>
          <w:sz w:val="24"/>
          <w:szCs w:val="24"/>
        </w:rPr>
        <w:t>.</w:t>
      </w:r>
      <w:r w:rsidR="00346A83" w:rsidRPr="00346A83">
        <w:rPr>
          <w:rFonts w:ascii="Candara" w:hAnsi="Candara" w:cs="Arial"/>
          <w:sz w:val="24"/>
          <w:szCs w:val="24"/>
          <w:lang w:val="es-SV"/>
        </w:rPr>
        <w:t xml:space="preserve"> </w:t>
      </w:r>
      <w:r w:rsidR="00346A83">
        <w:rPr>
          <w:rFonts w:ascii="Candara" w:hAnsi="Candara" w:cs="Arial"/>
          <w:sz w:val="24"/>
          <w:szCs w:val="24"/>
          <w:lang w:val="es-SV"/>
        </w:rPr>
        <w:t xml:space="preserve">La carga </w:t>
      </w:r>
      <w:r w:rsidR="00346A83">
        <w:rPr>
          <w:rFonts w:ascii="Candara" w:hAnsi="Candara" w:cs="Arial"/>
          <w:sz w:val="24"/>
          <w:szCs w:val="24"/>
          <w:lang w:val="es-SV"/>
        </w:rPr>
        <w:lastRenderedPageBreak/>
        <w:t xml:space="preserve">Tributaria </w:t>
      </w:r>
      <w:r w:rsidR="00346A83" w:rsidRPr="007F50E2">
        <w:rPr>
          <w:rFonts w:ascii="Candara" w:hAnsi="Candara" w:cs="Arial"/>
          <w:sz w:val="24"/>
          <w:szCs w:val="24"/>
          <w:lang w:val="es-SV"/>
        </w:rPr>
        <w:t xml:space="preserve">representa un </w:t>
      </w:r>
      <w:r w:rsidR="00B93D63">
        <w:rPr>
          <w:rFonts w:ascii="Candara" w:hAnsi="Candara" w:cs="Arial"/>
          <w:sz w:val="24"/>
          <w:szCs w:val="24"/>
          <w:lang w:val="es-SV"/>
        </w:rPr>
        <w:t>1</w:t>
      </w:r>
      <w:r w:rsidR="0077621C">
        <w:rPr>
          <w:rFonts w:ascii="Candara" w:hAnsi="Candara" w:cs="Arial"/>
          <w:sz w:val="24"/>
          <w:szCs w:val="24"/>
          <w:lang w:val="es-SV"/>
        </w:rPr>
        <w:t>8.3</w:t>
      </w:r>
      <w:r w:rsidR="00346A83" w:rsidRPr="007F50E2">
        <w:rPr>
          <w:rFonts w:ascii="Candara" w:hAnsi="Candara" w:cs="Arial"/>
          <w:sz w:val="24"/>
          <w:szCs w:val="24"/>
          <w:lang w:val="es-SV"/>
        </w:rPr>
        <w:t>% con relación al PIB</w:t>
      </w:r>
      <w:r w:rsidR="00346A83">
        <w:rPr>
          <w:rFonts w:ascii="Candara" w:hAnsi="Candara" w:cs="Arial"/>
          <w:sz w:val="24"/>
          <w:szCs w:val="24"/>
          <w:lang w:val="es-SV"/>
        </w:rPr>
        <w:t xml:space="preserve">, siendo </w:t>
      </w:r>
      <w:r w:rsidR="0077621C">
        <w:rPr>
          <w:rFonts w:ascii="Candara" w:hAnsi="Candara" w:cs="Arial"/>
          <w:sz w:val="24"/>
          <w:szCs w:val="24"/>
          <w:lang w:val="es-SV"/>
        </w:rPr>
        <w:t>superior</w:t>
      </w:r>
      <w:r w:rsidR="005D3504">
        <w:rPr>
          <w:rFonts w:ascii="Candara" w:hAnsi="Candara" w:cs="Arial"/>
          <w:sz w:val="24"/>
          <w:szCs w:val="24"/>
          <w:lang w:val="es-SV"/>
        </w:rPr>
        <w:t xml:space="preserve"> </w:t>
      </w:r>
      <w:r w:rsidR="00346A83">
        <w:rPr>
          <w:rFonts w:ascii="Candara" w:hAnsi="Candara" w:cs="Arial"/>
          <w:sz w:val="24"/>
          <w:szCs w:val="24"/>
          <w:lang w:val="es-SV"/>
        </w:rPr>
        <w:t>a la obtenida al mismo período del año anterior en 0.</w:t>
      </w:r>
      <w:r w:rsidR="0077621C">
        <w:rPr>
          <w:rFonts w:ascii="Candara" w:hAnsi="Candara" w:cs="Arial"/>
          <w:sz w:val="24"/>
          <w:szCs w:val="24"/>
          <w:lang w:val="es-SV"/>
        </w:rPr>
        <w:t>1</w:t>
      </w:r>
      <w:r w:rsidR="00346A83">
        <w:rPr>
          <w:rFonts w:ascii="Candara" w:hAnsi="Candara" w:cs="Arial"/>
          <w:sz w:val="24"/>
          <w:szCs w:val="24"/>
          <w:lang w:val="es-SV"/>
        </w:rPr>
        <w:t xml:space="preserve"> </w:t>
      </w:r>
      <w:r w:rsidR="005D3504">
        <w:rPr>
          <w:rFonts w:ascii="Candara" w:hAnsi="Candara" w:cs="Arial"/>
          <w:sz w:val="24"/>
          <w:szCs w:val="24"/>
          <w:lang w:val="es-SV"/>
        </w:rPr>
        <w:t xml:space="preserve">puntos </w:t>
      </w:r>
      <w:r w:rsidR="00346A83">
        <w:rPr>
          <w:rFonts w:ascii="Candara" w:hAnsi="Candara" w:cs="Arial"/>
          <w:sz w:val="24"/>
          <w:szCs w:val="24"/>
          <w:lang w:val="es-SV"/>
        </w:rPr>
        <w:t>porcentual</w:t>
      </w:r>
      <w:r w:rsidR="005D3504">
        <w:rPr>
          <w:rFonts w:ascii="Candara" w:hAnsi="Candara" w:cs="Arial"/>
          <w:sz w:val="24"/>
          <w:szCs w:val="24"/>
          <w:lang w:val="es-SV"/>
        </w:rPr>
        <w:t>es</w:t>
      </w:r>
      <w:r w:rsidR="0077621C">
        <w:rPr>
          <w:rStyle w:val="FootnoteReference"/>
          <w:rFonts w:ascii="Candara" w:hAnsi="Candara" w:cs="Arial"/>
          <w:sz w:val="24"/>
          <w:szCs w:val="24"/>
          <w:lang w:val="es-SV"/>
        </w:rPr>
        <w:footnoteReference w:id="1"/>
      </w:r>
      <w:r w:rsidR="00042C94">
        <w:rPr>
          <w:rFonts w:ascii="Candara" w:hAnsi="Candara" w:cs="Arial"/>
          <w:sz w:val="24"/>
          <w:szCs w:val="24"/>
          <w:lang w:val="es-SV"/>
        </w:rPr>
        <w:t>.</w:t>
      </w:r>
      <w:r w:rsidR="00346A83">
        <w:rPr>
          <w:rFonts w:ascii="Candara" w:hAnsi="Candara" w:cs="Arial"/>
          <w:sz w:val="24"/>
          <w:szCs w:val="24"/>
          <w:lang w:val="es-SV"/>
        </w:rPr>
        <w:t xml:space="preserve"> </w:t>
      </w:r>
    </w:p>
    <w:p w:rsidR="00FE704C" w:rsidRPr="00B84AC7" w:rsidRDefault="00FE704C" w:rsidP="00042C94">
      <w:pPr>
        <w:tabs>
          <w:tab w:val="left" w:pos="284"/>
        </w:tabs>
        <w:jc w:val="both"/>
        <w:rPr>
          <w:rFonts w:ascii="Candara" w:hAnsi="Candara" w:cs="Arial"/>
          <w:sz w:val="16"/>
          <w:szCs w:val="16"/>
          <w:lang w:val="es-SV"/>
        </w:rPr>
      </w:pPr>
    </w:p>
    <w:p w:rsidR="007E4F3D" w:rsidRPr="004D7F5A" w:rsidRDefault="00AD3B3D" w:rsidP="007E4F3D">
      <w:pPr>
        <w:jc w:val="both"/>
        <w:rPr>
          <w:rFonts w:ascii="Arial" w:hAnsi="Arial" w:cs="Arial"/>
          <w:i/>
          <w:sz w:val="22"/>
          <w:szCs w:val="22"/>
          <w:lang w:val="es-419"/>
        </w:rPr>
      </w:pPr>
      <w:r w:rsidRPr="007F50E2">
        <w:rPr>
          <w:rFonts w:ascii="Candara" w:hAnsi="Candara" w:cs="Arial"/>
          <w:sz w:val="24"/>
          <w:szCs w:val="24"/>
          <w:lang w:val="es-419"/>
        </w:rPr>
        <w:t>De forma detallada</w:t>
      </w:r>
      <w:r w:rsidRPr="007F50E2">
        <w:rPr>
          <w:rFonts w:ascii="Candara" w:hAnsi="Candara" w:cs="Arial"/>
          <w:sz w:val="24"/>
          <w:szCs w:val="24"/>
        </w:rPr>
        <w:t xml:space="preserve">, la recaudación del Impuesto al Valor Agregado </w:t>
      </w:r>
      <w:r w:rsidRPr="007F50E2">
        <w:rPr>
          <w:rFonts w:ascii="Candara" w:hAnsi="Candara" w:cs="Arial"/>
          <w:sz w:val="24"/>
          <w:szCs w:val="24"/>
          <w:lang w:val="es-419"/>
        </w:rPr>
        <w:t xml:space="preserve">alcanzó </w:t>
      </w:r>
      <w:r w:rsidRPr="007F50E2">
        <w:rPr>
          <w:rFonts w:ascii="Candara" w:hAnsi="Candara" w:cs="Arial"/>
          <w:sz w:val="24"/>
          <w:szCs w:val="24"/>
        </w:rPr>
        <w:t xml:space="preserve">un </w:t>
      </w:r>
      <w:r w:rsidR="00912173">
        <w:rPr>
          <w:rFonts w:ascii="Candara" w:hAnsi="Candara" w:cs="Arial"/>
          <w:sz w:val="24"/>
          <w:szCs w:val="24"/>
        </w:rPr>
        <w:t>monto</w:t>
      </w:r>
      <w:r w:rsidRPr="007F50E2">
        <w:rPr>
          <w:rFonts w:ascii="Candara" w:hAnsi="Candara" w:cs="Arial"/>
          <w:sz w:val="24"/>
          <w:szCs w:val="24"/>
        </w:rPr>
        <w:t xml:space="preserve"> de $</w:t>
      </w:r>
      <w:r w:rsidR="0077621C">
        <w:rPr>
          <w:rFonts w:ascii="Candara" w:hAnsi="Candara" w:cs="Arial"/>
          <w:sz w:val="24"/>
          <w:szCs w:val="24"/>
        </w:rPr>
        <w:t>2,0</w:t>
      </w:r>
      <w:r w:rsidR="0093118D">
        <w:rPr>
          <w:rFonts w:ascii="Candara" w:hAnsi="Candara" w:cs="Arial"/>
          <w:sz w:val="24"/>
          <w:szCs w:val="24"/>
        </w:rPr>
        <w:t>72.9</w:t>
      </w:r>
      <w:r w:rsidR="00042C94">
        <w:rPr>
          <w:rFonts w:ascii="Candara" w:hAnsi="Candara" w:cs="Arial"/>
          <w:sz w:val="24"/>
          <w:szCs w:val="24"/>
          <w:lang w:val="es-SV"/>
        </w:rPr>
        <w:t xml:space="preserve"> </w:t>
      </w:r>
      <w:r w:rsidRPr="007F50E2">
        <w:rPr>
          <w:rFonts w:ascii="Candara" w:hAnsi="Candara" w:cs="Arial"/>
          <w:sz w:val="24"/>
          <w:szCs w:val="24"/>
        </w:rPr>
        <w:t xml:space="preserve">millones, </w:t>
      </w:r>
      <w:r w:rsidR="00C21692">
        <w:rPr>
          <w:rFonts w:ascii="Candara" w:hAnsi="Candara" w:cs="Arial"/>
          <w:sz w:val="24"/>
          <w:szCs w:val="24"/>
        </w:rPr>
        <w:t>con</w:t>
      </w:r>
      <w:r w:rsidR="00007F40">
        <w:rPr>
          <w:rFonts w:ascii="Candara" w:hAnsi="Candara" w:cs="Arial"/>
          <w:sz w:val="24"/>
          <w:szCs w:val="24"/>
        </w:rPr>
        <w:t xml:space="preserve"> </w:t>
      </w:r>
      <w:r w:rsidRPr="007F50E2">
        <w:rPr>
          <w:rFonts w:ascii="Candara" w:hAnsi="Candara" w:cs="Arial"/>
          <w:sz w:val="24"/>
          <w:szCs w:val="24"/>
          <w:lang w:val="es-419"/>
        </w:rPr>
        <w:t>un</w:t>
      </w:r>
      <w:r w:rsidR="00007F40">
        <w:rPr>
          <w:rFonts w:ascii="Candara" w:hAnsi="Candara" w:cs="Arial"/>
          <w:sz w:val="24"/>
          <w:szCs w:val="24"/>
          <w:lang w:val="es-419"/>
        </w:rPr>
        <w:t>a</w:t>
      </w:r>
      <w:r w:rsidRPr="007F50E2">
        <w:rPr>
          <w:rFonts w:ascii="Candara" w:hAnsi="Candara" w:cs="Arial"/>
          <w:sz w:val="24"/>
          <w:szCs w:val="24"/>
          <w:lang w:val="es-419"/>
        </w:rPr>
        <w:t xml:space="preserve"> </w:t>
      </w:r>
      <w:r w:rsidR="00007F40">
        <w:rPr>
          <w:rFonts w:ascii="Candara" w:hAnsi="Candara" w:cs="Arial"/>
          <w:sz w:val="24"/>
          <w:szCs w:val="24"/>
          <w:lang w:val="es-419"/>
        </w:rPr>
        <w:t xml:space="preserve">reducción </w:t>
      </w:r>
      <w:r w:rsidRPr="007F50E2">
        <w:rPr>
          <w:rFonts w:ascii="Candara" w:hAnsi="Candara" w:cs="Arial"/>
          <w:sz w:val="24"/>
          <w:szCs w:val="24"/>
        </w:rPr>
        <w:t>anua</w:t>
      </w:r>
      <w:r w:rsidRPr="007F50E2">
        <w:rPr>
          <w:rFonts w:ascii="Candara" w:hAnsi="Candara" w:cs="Arial"/>
          <w:sz w:val="24"/>
          <w:szCs w:val="24"/>
          <w:lang w:val="es-419"/>
        </w:rPr>
        <w:t>l</w:t>
      </w:r>
      <w:r w:rsidRPr="007F50E2">
        <w:rPr>
          <w:rFonts w:ascii="Candara" w:hAnsi="Candara" w:cs="Arial"/>
          <w:sz w:val="24"/>
          <w:szCs w:val="24"/>
        </w:rPr>
        <w:t xml:space="preserve"> </w:t>
      </w:r>
      <w:r w:rsidRPr="007F50E2">
        <w:rPr>
          <w:rFonts w:ascii="Candara" w:hAnsi="Candara" w:cs="Arial"/>
          <w:sz w:val="24"/>
          <w:szCs w:val="24"/>
          <w:lang w:val="es-419"/>
        </w:rPr>
        <w:t>de</w:t>
      </w:r>
      <w:r w:rsidRPr="007F50E2">
        <w:rPr>
          <w:rFonts w:ascii="Candara" w:hAnsi="Candara" w:cs="Arial"/>
          <w:sz w:val="24"/>
          <w:szCs w:val="24"/>
        </w:rPr>
        <w:t xml:space="preserve"> </w:t>
      </w:r>
      <w:r w:rsidR="0077621C">
        <w:rPr>
          <w:rFonts w:ascii="Candara" w:hAnsi="Candara" w:cs="Arial"/>
          <w:sz w:val="24"/>
          <w:szCs w:val="24"/>
        </w:rPr>
        <w:t>6.</w:t>
      </w:r>
      <w:r w:rsidR="0093118D">
        <w:rPr>
          <w:rFonts w:ascii="Candara" w:hAnsi="Candara" w:cs="Arial"/>
          <w:sz w:val="24"/>
          <w:szCs w:val="24"/>
        </w:rPr>
        <w:t>4</w:t>
      </w:r>
      <w:r w:rsidRPr="007F50E2">
        <w:rPr>
          <w:rFonts w:ascii="Candara" w:hAnsi="Candara" w:cs="Arial"/>
          <w:sz w:val="24"/>
          <w:szCs w:val="24"/>
        </w:rPr>
        <w:t>%,</w:t>
      </w:r>
      <w:r w:rsidRPr="007F50E2">
        <w:rPr>
          <w:rFonts w:ascii="Candara" w:hAnsi="Candara" w:cs="Arial"/>
          <w:sz w:val="24"/>
          <w:szCs w:val="24"/>
          <w:lang w:val="es-419"/>
        </w:rPr>
        <w:t xml:space="preserve"> </w:t>
      </w:r>
      <w:r w:rsidRPr="00BC1FEB">
        <w:rPr>
          <w:rFonts w:ascii="Candara" w:hAnsi="Candara" w:cs="Arial"/>
          <w:sz w:val="24"/>
          <w:szCs w:val="24"/>
          <w:lang w:val="es-SV"/>
        </w:rPr>
        <w:t xml:space="preserve">como </w:t>
      </w:r>
      <w:r w:rsidRPr="00BC1FEB">
        <w:rPr>
          <w:rFonts w:ascii="Candara" w:hAnsi="Candara" w:cs="Arial"/>
          <w:sz w:val="24"/>
          <w:szCs w:val="24"/>
          <w:lang w:val="es-419"/>
        </w:rPr>
        <w:t xml:space="preserve">resultado de </w:t>
      </w:r>
      <w:r w:rsidR="00007F40">
        <w:rPr>
          <w:rFonts w:ascii="Candara" w:hAnsi="Candara" w:cs="Arial"/>
          <w:sz w:val="24"/>
          <w:szCs w:val="24"/>
          <w:lang w:val="es-419"/>
        </w:rPr>
        <w:t xml:space="preserve">pérdidas </w:t>
      </w:r>
      <w:r w:rsidRPr="00BC1FEB">
        <w:rPr>
          <w:rFonts w:ascii="Candara" w:hAnsi="Candara" w:cs="Arial"/>
          <w:sz w:val="24"/>
          <w:szCs w:val="24"/>
          <w:lang w:val="es-419"/>
        </w:rPr>
        <w:t>en</w:t>
      </w:r>
      <w:r w:rsidR="00F82843" w:rsidRPr="00BC1FEB">
        <w:rPr>
          <w:rFonts w:ascii="Candara" w:hAnsi="Candara" w:cs="Arial"/>
          <w:sz w:val="24"/>
          <w:szCs w:val="24"/>
          <w:lang w:val="es-SV"/>
        </w:rPr>
        <w:t xml:space="preserve"> el </w:t>
      </w:r>
      <w:r w:rsidRPr="00BC1FEB">
        <w:rPr>
          <w:rFonts w:ascii="Candara" w:hAnsi="Candara" w:cs="Arial"/>
          <w:sz w:val="24"/>
          <w:szCs w:val="24"/>
          <w:lang w:val="es-419"/>
        </w:rPr>
        <w:t xml:space="preserve">IVA </w:t>
      </w:r>
      <w:r w:rsidR="00BC1FEB" w:rsidRPr="00BC1FEB">
        <w:rPr>
          <w:rFonts w:ascii="Candara" w:hAnsi="Candara" w:cs="Arial"/>
          <w:sz w:val="24"/>
          <w:szCs w:val="24"/>
          <w:lang w:val="es-SV"/>
        </w:rPr>
        <w:t>declaración</w:t>
      </w:r>
      <w:r w:rsidRPr="00BC1FEB">
        <w:rPr>
          <w:rFonts w:ascii="Candara" w:hAnsi="Candara" w:cs="Arial"/>
          <w:sz w:val="24"/>
          <w:szCs w:val="24"/>
          <w:lang w:val="es-419"/>
        </w:rPr>
        <w:t xml:space="preserve"> de </w:t>
      </w:r>
      <w:r w:rsidR="0093118D">
        <w:rPr>
          <w:rFonts w:ascii="Candara" w:hAnsi="Candara" w:cs="Arial"/>
          <w:sz w:val="24"/>
          <w:szCs w:val="24"/>
          <w:lang w:val="es-419"/>
        </w:rPr>
        <w:t>0.4</w:t>
      </w:r>
      <w:r w:rsidRPr="00BC1FEB">
        <w:rPr>
          <w:rFonts w:ascii="Candara" w:hAnsi="Candara" w:cs="Arial"/>
          <w:sz w:val="24"/>
          <w:szCs w:val="24"/>
          <w:lang w:val="es-SV"/>
        </w:rPr>
        <w:t>%</w:t>
      </w:r>
      <w:r w:rsidR="00007F40">
        <w:rPr>
          <w:rFonts w:ascii="Candara" w:hAnsi="Candara" w:cs="Arial"/>
          <w:sz w:val="24"/>
          <w:szCs w:val="24"/>
          <w:lang w:val="es-SV"/>
        </w:rPr>
        <w:t xml:space="preserve"> y en IVA importaciones por </w:t>
      </w:r>
      <w:r w:rsidR="00216005">
        <w:rPr>
          <w:rFonts w:ascii="Candara" w:hAnsi="Candara" w:cs="Arial"/>
          <w:sz w:val="24"/>
          <w:szCs w:val="24"/>
          <w:lang w:val="es-SV"/>
        </w:rPr>
        <w:t>1</w:t>
      </w:r>
      <w:r w:rsidR="00722A7E">
        <w:rPr>
          <w:rFonts w:ascii="Candara" w:hAnsi="Candara" w:cs="Arial"/>
          <w:sz w:val="24"/>
          <w:szCs w:val="24"/>
          <w:lang w:val="es-SV"/>
        </w:rPr>
        <w:t>1.</w:t>
      </w:r>
      <w:r w:rsidR="0093118D">
        <w:rPr>
          <w:rFonts w:ascii="Candara" w:hAnsi="Candara" w:cs="Arial"/>
          <w:sz w:val="24"/>
          <w:szCs w:val="24"/>
          <w:lang w:val="es-SV"/>
        </w:rPr>
        <w:t>6</w:t>
      </w:r>
      <w:r w:rsidR="00007F40">
        <w:rPr>
          <w:rFonts w:ascii="Candara" w:hAnsi="Candara" w:cs="Arial"/>
          <w:sz w:val="24"/>
          <w:szCs w:val="24"/>
          <w:lang w:val="es-SV"/>
        </w:rPr>
        <w:t>%</w:t>
      </w:r>
      <w:r w:rsidR="00E46FBF">
        <w:rPr>
          <w:rFonts w:ascii="Candara" w:hAnsi="Candara" w:cs="Arial"/>
          <w:sz w:val="24"/>
          <w:szCs w:val="24"/>
          <w:lang w:val="es-SV"/>
        </w:rPr>
        <w:t xml:space="preserve">. </w:t>
      </w:r>
      <w:r w:rsidRPr="00BC1FEB">
        <w:rPr>
          <w:rFonts w:ascii="Candara" w:hAnsi="Candara" w:cs="Arial"/>
          <w:sz w:val="24"/>
          <w:szCs w:val="24"/>
          <w:lang w:val="es-419"/>
        </w:rPr>
        <w:t>Dentro de la composición de los</w:t>
      </w:r>
      <w:r w:rsidRPr="007F50E2">
        <w:rPr>
          <w:rFonts w:ascii="Candara" w:hAnsi="Candara" w:cs="Arial"/>
          <w:sz w:val="24"/>
          <w:szCs w:val="24"/>
          <w:lang w:val="es-419"/>
        </w:rPr>
        <w:t xml:space="preserve"> Ingresos Tributarios, el IVA representó el 4</w:t>
      </w:r>
      <w:r w:rsidR="00722A7E">
        <w:rPr>
          <w:rFonts w:ascii="Candara" w:hAnsi="Candara" w:cs="Arial"/>
          <w:sz w:val="24"/>
          <w:szCs w:val="24"/>
          <w:lang w:val="es-419"/>
        </w:rPr>
        <w:t>4.</w:t>
      </w:r>
      <w:r w:rsidR="0093118D">
        <w:rPr>
          <w:rFonts w:ascii="Candara" w:hAnsi="Candara" w:cs="Arial"/>
          <w:sz w:val="24"/>
          <w:szCs w:val="24"/>
          <w:lang w:val="es-419"/>
        </w:rPr>
        <w:t>8</w:t>
      </w:r>
      <w:r w:rsidRPr="007F50E2">
        <w:rPr>
          <w:rFonts w:ascii="Candara" w:hAnsi="Candara" w:cs="Arial"/>
          <w:sz w:val="24"/>
          <w:szCs w:val="24"/>
          <w:lang w:val="es-419"/>
        </w:rPr>
        <w:t xml:space="preserve">%. </w:t>
      </w:r>
    </w:p>
    <w:p w:rsidR="00AD3B3D" w:rsidRPr="007F50E2" w:rsidRDefault="00AD3B3D" w:rsidP="00AD3B3D">
      <w:pPr>
        <w:jc w:val="both"/>
        <w:rPr>
          <w:rFonts w:ascii="Candara" w:hAnsi="Candara" w:cs="Arial"/>
          <w:sz w:val="24"/>
          <w:szCs w:val="24"/>
          <w:lang w:val="es-419"/>
        </w:rPr>
      </w:pPr>
    </w:p>
    <w:p w:rsidR="00EE6B48" w:rsidRPr="00C5160B" w:rsidRDefault="00AD3B3D" w:rsidP="00EE6B48">
      <w:pPr>
        <w:jc w:val="both"/>
        <w:rPr>
          <w:rFonts w:ascii="Arial" w:hAnsi="Arial" w:cs="Arial"/>
          <w:i/>
          <w:sz w:val="22"/>
          <w:szCs w:val="22"/>
        </w:rPr>
      </w:pPr>
      <w:r w:rsidRPr="007F50E2">
        <w:rPr>
          <w:rFonts w:ascii="Candara" w:hAnsi="Candara" w:cs="Arial"/>
          <w:sz w:val="24"/>
          <w:szCs w:val="24"/>
        </w:rPr>
        <w:t xml:space="preserve">El Impuesto sobre la Renta </w:t>
      </w:r>
      <w:r w:rsidRPr="007F50E2">
        <w:rPr>
          <w:rFonts w:ascii="Candara" w:hAnsi="Candara" w:cs="Arial"/>
          <w:sz w:val="24"/>
          <w:szCs w:val="24"/>
          <w:lang w:val="es-419"/>
        </w:rPr>
        <w:t xml:space="preserve">alcanzó un valor recaudado de </w:t>
      </w:r>
      <w:r w:rsidRPr="007F50E2">
        <w:rPr>
          <w:rFonts w:ascii="Candara" w:hAnsi="Candara" w:cs="Arial"/>
          <w:sz w:val="24"/>
          <w:szCs w:val="24"/>
        </w:rPr>
        <w:t>$</w:t>
      </w:r>
      <w:r w:rsidR="00007F40">
        <w:rPr>
          <w:rFonts w:ascii="Candara" w:hAnsi="Candara" w:cs="Arial"/>
          <w:sz w:val="24"/>
          <w:szCs w:val="24"/>
        </w:rPr>
        <w:t>1,</w:t>
      </w:r>
      <w:r w:rsidR="00722A7E">
        <w:rPr>
          <w:rFonts w:ascii="Candara" w:hAnsi="Candara" w:cs="Arial"/>
          <w:sz w:val="24"/>
          <w:szCs w:val="24"/>
        </w:rPr>
        <w:t>9</w:t>
      </w:r>
      <w:r w:rsidR="0071588C">
        <w:rPr>
          <w:rFonts w:ascii="Candara" w:hAnsi="Candara" w:cs="Arial"/>
          <w:sz w:val="24"/>
          <w:szCs w:val="24"/>
        </w:rPr>
        <w:t>07.1</w:t>
      </w:r>
      <w:r w:rsidRPr="007F50E2">
        <w:rPr>
          <w:rFonts w:ascii="Candara" w:hAnsi="Candara" w:cs="Arial"/>
          <w:sz w:val="24"/>
          <w:szCs w:val="24"/>
        </w:rPr>
        <w:t xml:space="preserve"> millones,</w:t>
      </w:r>
      <w:r w:rsidRPr="007F50E2">
        <w:rPr>
          <w:rFonts w:ascii="Candara" w:hAnsi="Candara" w:cs="Arial"/>
          <w:sz w:val="24"/>
          <w:szCs w:val="24"/>
          <w:lang w:val="es-419"/>
        </w:rPr>
        <w:t xml:space="preserve"> con un</w:t>
      </w:r>
      <w:r w:rsidR="00216005">
        <w:rPr>
          <w:rFonts w:ascii="Candara" w:hAnsi="Candara" w:cs="Arial"/>
          <w:sz w:val="24"/>
          <w:szCs w:val="24"/>
          <w:lang w:val="es-419"/>
        </w:rPr>
        <w:t>a</w:t>
      </w:r>
      <w:r w:rsidRPr="007F50E2">
        <w:rPr>
          <w:rFonts w:ascii="Candara" w:hAnsi="Candara" w:cs="Arial"/>
          <w:sz w:val="24"/>
          <w:szCs w:val="24"/>
          <w:lang w:val="es-419"/>
        </w:rPr>
        <w:t xml:space="preserve"> </w:t>
      </w:r>
      <w:r w:rsidR="00007F40">
        <w:rPr>
          <w:rFonts w:ascii="Candara" w:hAnsi="Candara" w:cs="Arial"/>
          <w:sz w:val="24"/>
          <w:szCs w:val="24"/>
          <w:lang w:val="es-419"/>
        </w:rPr>
        <w:t xml:space="preserve">variación </w:t>
      </w:r>
      <w:r w:rsidRPr="007F50E2">
        <w:rPr>
          <w:rFonts w:ascii="Candara" w:hAnsi="Candara" w:cs="Arial"/>
          <w:sz w:val="24"/>
          <w:szCs w:val="24"/>
          <w:lang w:val="es-419"/>
        </w:rPr>
        <w:t xml:space="preserve">anual de </w:t>
      </w:r>
      <w:r w:rsidR="00007F40">
        <w:rPr>
          <w:rFonts w:ascii="Candara" w:hAnsi="Candara" w:cs="Arial"/>
          <w:sz w:val="24"/>
          <w:szCs w:val="24"/>
          <w:lang w:val="es-419"/>
        </w:rPr>
        <w:t>-</w:t>
      </w:r>
      <w:r w:rsidR="00722A7E">
        <w:rPr>
          <w:rFonts w:ascii="Candara" w:hAnsi="Candara" w:cs="Arial"/>
          <w:sz w:val="24"/>
          <w:szCs w:val="24"/>
          <w:lang w:val="es-419"/>
        </w:rPr>
        <w:t>1.4</w:t>
      </w:r>
      <w:r w:rsidRPr="007F50E2">
        <w:rPr>
          <w:rFonts w:ascii="Candara" w:hAnsi="Candara" w:cs="Arial"/>
          <w:sz w:val="24"/>
          <w:szCs w:val="24"/>
        </w:rPr>
        <w:t xml:space="preserve">%, </w:t>
      </w:r>
      <w:r w:rsidRPr="007F50E2">
        <w:rPr>
          <w:rFonts w:ascii="Candara" w:hAnsi="Candara" w:cs="Arial"/>
          <w:sz w:val="24"/>
          <w:szCs w:val="24"/>
          <w:lang w:val="es-419"/>
        </w:rPr>
        <w:t xml:space="preserve">equivalente a </w:t>
      </w:r>
      <w:r w:rsidRPr="007F50E2">
        <w:rPr>
          <w:rFonts w:ascii="Candara" w:hAnsi="Candara" w:cs="Arial"/>
          <w:sz w:val="24"/>
          <w:szCs w:val="24"/>
        </w:rPr>
        <w:t>$</w:t>
      </w:r>
      <w:r w:rsidR="00722A7E">
        <w:rPr>
          <w:rFonts w:ascii="Candara" w:hAnsi="Candara" w:cs="Arial"/>
          <w:sz w:val="24"/>
          <w:szCs w:val="24"/>
        </w:rPr>
        <w:t>26.</w:t>
      </w:r>
      <w:r w:rsidR="006E72C0">
        <w:rPr>
          <w:rFonts w:ascii="Candara" w:hAnsi="Candara" w:cs="Arial"/>
          <w:sz w:val="24"/>
          <w:szCs w:val="24"/>
        </w:rPr>
        <w:t>6</w:t>
      </w:r>
      <w:r w:rsidRPr="007F50E2">
        <w:rPr>
          <w:rFonts w:ascii="Candara" w:hAnsi="Candara" w:cs="Arial"/>
          <w:sz w:val="24"/>
          <w:szCs w:val="24"/>
        </w:rPr>
        <w:t xml:space="preserve"> millones,</w:t>
      </w:r>
      <w:r w:rsidRPr="007F50E2">
        <w:rPr>
          <w:rFonts w:ascii="Candara" w:hAnsi="Candara" w:cs="Arial"/>
          <w:sz w:val="24"/>
          <w:szCs w:val="24"/>
          <w:lang w:val="es-419"/>
        </w:rPr>
        <w:t xml:space="preserve"> </w:t>
      </w:r>
      <w:r w:rsidRPr="007F50E2">
        <w:rPr>
          <w:rFonts w:ascii="Candara" w:hAnsi="Candara" w:cs="Arial"/>
          <w:sz w:val="24"/>
          <w:szCs w:val="24"/>
          <w:lang w:val="es-SV"/>
        </w:rPr>
        <w:t>este resultado</w:t>
      </w:r>
      <w:r w:rsidRPr="007F50E2">
        <w:rPr>
          <w:rFonts w:ascii="Candara" w:hAnsi="Candara" w:cs="Arial"/>
          <w:sz w:val="24"/>
          <w:szCs w:val="24"/>
          <w:lang w:val="es-419"/>
        </w:rPr>
        <w:t xml:space="preserve"> responde a </w:t>
      </w:r>
      <w:r w:rsidR="00216005">
        <w:rPr>
          <w:rFonts w:ascii="Candara" w:hAnsi="Candara" w:cs="Arial"/>
          <w:sz w:val="24"/>
          <w:szCs w:val="24"/>
          <w:lang w:val="es-419"/>
        </w:rPr>
        <w:t>disminuciones</w:t>
      </w:r>
      <w:r w:rsidRPr="007F50E2">
        <w:rPr>
          <w:rFonts w:ascii="Candara" w:hAnsi="Candara" w:cs="Arial"/>
          <w:sz w:val="24"/>
          <w:szCs w:val="24"/>
          <w:lang w:val="es-SV"/>
        </w:rPr>
        <w:t xml:space="preserve"> porcentuales en </w:t>
      </w:r>
      <w:r w:rsidR="00ED067D">
        <w:rPr>
          <w:rFonts w:ascii="Candara" w:hAnsi="Candara" w:cs="Arial"/>
          <w:sz w:val="24"/>
          <w:szCs w:val="24"/>
          <w:lang w:val="es-SV"/>
        </w:rPr>
        <w:t>los</w:t>
      </w:r>
      <w:r w:rsidR="00B84AC7">
        <w:rPr>
          <w:rFonts w:ascii="Candara" w:hAnsi="Candara" w:cs="Arial"/>
          <w:sz w:val="24"/>
          <w:szCs w:val="24"/>
          <w:lang w:val="es-SV"/>
        </w:rPr>
        <w:t xml:space="preserve"> </w:t>
      </w:r>
      <w:r w:rsidRPr="007F50E2">
        <w:rPr>
          <w:rFonts w:ascii="Candara" w:hAnsi="Candara" w:cs="Arial"/>
          <w:sz w:val="24"/>
          <w:szCs w:val="24"/>
          <w:lang w:val="es-419"/>
        </w:rPr>
        <w:t>componentes</w:t>
      </w:r>
      <w:r w:rsidRPr="00BC1FEB">
        <w:rPr>
          <w:rFonts w:ascii="Candara" w:hAnsi="Candara" w:cs="Arial"/>
          <w:sz w:val="24"/>
          <w:szCs w:val="24"/>
          <w:lang w:val="es-SV"/>
        </w:rPr>
        <w:t xml:space="preserve">: </w:t>
      </w:r>
      <w:r w:rsidRPr="00BC1FEB">
        <w:rPr>
          <w:rFonts w:ascii="Candara" w:hAnsi="Candara" w:cs="Arial"/>
          <w:sz w:val="24"/>
          <w:szCs w:val="24"/>
          <w:lang w:val="es-419"/>
        </w:rPr>
        <w:t xml:space="preserve">Retención de </w:t>
      </w:r>
      <w:r w:rsidR="004656B1">
        <w:rPr>
          <w:rFonts w:ascii="Candara" w:hAnsi="Candara" w:cs="Arial"/>
          <w:sz w:val="24"/>
          <w:szCs w:val="24"/>
          <w:lang w:val="es-419"/>
        </w:rPr>
        <w:t>-</w:t>
      </w:r>
      <w:r w:rsidR="00ED067D">
        <w:rPr>
          <w:rFonts w:ascii="Candara" w:hAnsi="Candara" w:cs="Arial"/>
          <w:sz w:val="24"/>
          <w:szCs w:val="24"/>
          <w:lang w:val="es-419"/>
        </w:rPr>
        <w:t>2.</w:t>
      </w:r>
      <w:r w:rsidR="00722A7E">
        <w:rPr>
          <w:rFonts w:ascii="Candara" w:hAnsi="Candara" w:cs="Arial"/>
          <w:sz w:val="24"/>
          <w:szCs w:val="24"/>
          <w:lang w:val="es-419"/>
        </w:rPr>
        <w:t>6</w:t>
      </w:r>
      <w:r w:rsidRPr="00BC1FEB">
        <w:rPr>
          <w:rFonts w:ascii="Candara" w:hAnsi="Candara" w:cs="Arial"/>
          <w:sz w:val="24"/>
          <w:szCs w:val="24"/>
          <w:lang w:val="es-419"/>
        </w:rPr>
        <w:t>%</w:t>
      </w:r>
      <w:r w:rsidR="00804CE7" w:rsidRPr="00BC1FEB">
        <w:rPr>
          <w:rFonts w:ascii="Candara" w:hAnsi="Candara" w:cs="Arial"/>
          <w:sz w:val="24"/>
          <w:szCs w:val="24"/>
          <w:lang w:val="es-SV"/>
        </w:rPr>
        <w:t xml:space="preserve"> </w:t>
      </w:r>
      <w:r w:rsidR="00216005">
        <w:rPr>
          <w:rFonts w:ascii="Candara" w:hAnsi="Candara" w:cs="Arial"/>
          <w:sz w:val="24"/>
          <w:szCs w:val="24"/>
          <w:lang w:val="es-SV"/>
        </w:rPr>
        <w:t xml:space="preserve">y </w:t>
      </w:r>
      <w:r w:rsidRPr="00BC1FEB">
        <w:rPr>
          <w:rFonts w:ascii="Candara" w:hAnsi="Candara" w:cs="Arial"/>
          <w:sz w:val="24"/>
          <w:szCs w:val="24"/>
          <w:lang w:val="es-419"/>
        </w:rPr>
        <w:t xml:space="preserve">Pago a cuenta en </w:t>
      </w:r>
      <w:r w:rsidR="00216005">
        <w:rPr>
          <w:rFonts w:ascii="Candara" w:hAnsi="Candara" w:cs="Arial"/>
          <w:sz w:val="24"/>
          <w:szCs w:val="24"/>
          <w:lang w:val="es-419"/>
        </w:rPr>
        <w:t>-1</w:t>
      </w:r>
      <w:r w:rsidR="00722A7E">
        <w:rPr>
          <w:rFonts w:ascii="Candara" w:hAnsi="Candara" w:cs="Arial"/>
          <w:sz w:val="24"/>
          <w:szCs w:val="24"/>
          <w:lang w:val="es-419"/>
        </w:rPr>
        <w:t>0</w:t>
      </w:r>
      <w:r w:rsidR="00ED067D">
        <w:rPr>
          <w:rFonts w:ascii="Candara" w:hAnsi="Candara" w:cs="Arial"/>
          <w:sz w:val="24"/>
          <w:szCs w:val="24"/>
          <w:lang w:val="es-419"/>
        </w:rPr>
        <w:t>.8</w:t>
      </w:r>
      <w:r w:rsidRPr="00BC1FEB">
        <w:rPr>
          <w:rFonts w:ascii="Candara" w:hAnsi="Candara" w:cs="Arial"/>
          <w:sz w:val="24"/>
          <w:szCs w:val="24"/>
          <w:lang w:val="es-419"/>
        </w:rPr>
        <w:t>%</w:t>
      </w:r>
      <w:r w:rsidR="00ED067D">
        <w:rPr>
          <w:rFonts w:ascii="Candara" w:hAnsi="Candara" w:cs="Arial"/>
          <w:sz w:val="24"/>
          <w:szCs w:val="24"/>
          <w:lang w:val="es-419"/>
        </w:rPr>
        <w:t xml:space="preserve">; mientras que la declaración registró una variación positiva de </w:t>
      </w:r>
      <w:r w:rsidR="00722A7E">
        <w:rPr>
          <w:rFonts w:ascii="Candara" w:hAnsi="Candara" w:cs="Arial"/>
          <w:sz w:val="24"/>
          <w:szCs w:val="24"/>
          <w:lang w:val="es-419"/>
        </w:rPr>
        <w:t>10.8</w:t>
      </w:r>
      <w:r w:rsidR="00ED067D">
        <w:rPr>
          <w:rFonts w:ascii="Candara" w:hAnsi="Candara" w:cs="Arial"/>
          <w:sz w:val="24"/>
          <w:szCs w:val="24"/>
          <w:lang w:val="es-419"/>
        </w:rPr>
        <w:t>%</w:t>
      </w:r>
      <w:r w:rsidR="00BC1FEB">
        <w:rPr>
          <w:rFonts w:ascii="Candara" w:hAnsi="Candara" w:cs="Arial"/>
          <w:sz w:val="24"/>
          <w:szCs w:val="24"/>
          <w:lang w:val="es-SV"/>
        </w:rPr>
        <w:t>.</w:t>
      </w:r>
      <w:r w:rsidR="00804CE7" w:rsidRPr="00BC1FEB">
        <w:rPr>
          <w:rFonts w:ascii="Candara" w:hAnsi="Candara" w:cs="Arial"/>
          <w:sz w:val="24"/>
          <w:szCs w:val="24"/>
          <w:lang w:val="es-SV"/>
        </w:rPr>
        <w:t xml:space="preserve"> </w:t>
      </w:r>
      <w:r w:rsidRPr="007F50E2">
        <w:rPr>
          <w:rFonts w:ascii="Candara" w:hAnsi="Candara" w:cs="Arial"/>
          <w:sz w:val="24"/>
          <w:szCs w:val="24"/>
          <w:lang w:val="es-419"/>
        </w:rPr>
        <w:t xml:space="preserve">La </w:t>
      </w:r>
      <w:r w:rsidRPr="007F50E2">
        <w:rPr>
          <w:rFonts w:ascii="Candara" w:hAnsi="Candara" w:cs="Arial"/>
          <w:sz w:val="24"/>
          <w:szCs w:val="24"/>
          <w:lang w:val="es-SV"/>
        </w:rPr>
        <w:t xml:space="preserve">participación </w:t>
      </w:r>
      <w:r w:rsidRPr="007F50E2">
        <w:rPr>
          <w:rFonts w:ascii="Candara" w:hAnsi="Candara" w:cs="Arial"/>
          <w:sz w:val="24"/>
          <w:szCs w:val="24"/>
        </w:rPr>
        <w:t>de</w:t>
      </w:r>
      <w:r w:rsidRPr="007F50E2">
        <w:rPr>
          <w:rFonts w:ascii="Candara" w:hAnsi="Candara" w:cs="Arial"/>
          <w:sz w:val="24"/>
          <w:szCs w:val="24"/>
          <w:lang w:val="es-419"/>
        </w:rPr>
        <w:t xml:space="preserve"> dicho impuesto </w:t>
      </w:r>
      <w:r w:rsidRPr="007F50E2">
        <w:rPr>
          <w:rFonts w:ascii="Candara" w:hAnsi="Candara" w:cs="Arial"/>
          <w:sz w:val="24"/>
          <w:szCs w:val="24"/>
        </w:rPr>
        <w:t xml:space="preserve">sobre el total de ingresos tributarios fue del </w:t>
      </w:r>
      <w:r w:rsidR="00007F40">
        <w:rPr>
          <w:rFonts w:ascii="Candara" w:hAnsi="Candara" w:cs="Arial"/>
          <w:sz w:val="24"/>
          <w:szCs w:val="24"/>
        </w:rPr>
        <w:t>4</w:t>
      </w:r>
      <w:r w:rsidR="00722A7E">
        <w:rPr>
          <w:rFonts w:ascii="Candara" w:hAnsi="Candara" w:cs="Arial"/>
          <w:sz w:val="24"/>
          <w:szCs w:val="24"/>
        </w:rPr>
        <w:t>1</w:t>
      </w:r>
      <w:r w:rsidR="00007F40">
        <w:rPr>
          <w:rFonts w:ascii="Candara" w:hAnsi="Candara" w:cs="Arial"/>
          <w:sz w:val="24"/>
          <w:szCs w:val="24"/>
        </w:rPr>
        <w:t>.</w:t>
      </w:r>
      <w:r w:rsidR="0071588C">
        <w:rPr>
          <w:rFonts w:ascii="Candara" w:hAnsi="Candara" w:cs="Arial"/>
          <w:sz w:val="24"/>
          <w:szCs w:val="24"/>
        </w:rPr>
        <w:t>2</w:t>
      </w:r>
      <w:r w:rsidRPr="007F50E2">
        <w:rPr>
          <w:rFonts w:ascii="Candara" w:hAnsi="Candara" w:cs="Arial"/>
          <w:sz w:val="24"/>
          <w:szCs w:val="24"/>
        </w:rPr>
        <w:t>%</w:t>
      </w:r>
      <w:r w:rsidRPr="007F50E2">
        <w:rPr>
          <w:rFonts w:ascii="Candara" w:hAnsi="Candara" w:cs="Arial"/>
          <w:sz w:val="24"/>
          <w:szCs w:val="24"/>
          <w:lang w:val="es-419"/>
        </w:rPr>
        <w:t>.</w:t>
      </w:r>
      <w:r w:rsidRPr="007F50E2">
        <w:rPr>
          <w:rFonts w:ascii="Candara" w:hAnsi="Candara" w:cs="Arial"/>
          <w:sz w:val="24"/>
          <w:szCs w:val="24"/>
        </w:rPr>
        <w:t xml:space="preserve"> </w:t>
      </w:r>
    </w:p>
    <w:p w:rsidR="00AD3B3D" w:rsidRPr="007F50E2" w:rsidRDefault="00AD3B3D" w:rsidP="00AD3B3D">
      <w:pPr>
        <w:jc w:val="both"/>
        <w:rPr>
          <w:rFonts w:ascii="Candara" w:hAnsi="Candara" w:cs="Arial"/>
          <w:sz w:val="24"/>
          <w:szCs w:val="24"/>
          <w:lang w:val="es-419"/>
        </w:rPr>
      </w:pPr>
    </w:p>
    <w:p w:rsidR="00AD3B3D" w:rsidRPr="007F50E2" w:rsidRDefault="00AD3B3D" w:rsidP="00AD3B3D">
      <w:pPr>
        <w:jc w:val="both"/>
        <w:rPr>
          <w:rFonts w:ascii="Candara" w:hAnsi="Candara" w:cs="Arial"/>
          <w:sz w:val="24"/>
          <w:szCs w:val="24"/>
        </w:rPr>
      </w:pPr>
      <w:r w:rsidRPr="007F50E2">
        <w:rPr>
          <w:rFonts w:ascii="Candara" w:hAnsi="Candara" w:cs="Arial"/>
          <w:sz w:val="24"/>
          <w:szCs w:val="24"/>
        </w:rPr>
        <w:t xml:space="preserve">La recaudación </w:t>
      </w:r>
      <w:bookmarkStart w:id="21" w:name="_Hlk48627481"/>
      <w:r w:rsidRPr="007F50E2">
        <w:rPr>
          <w:rFonts w:ascii="Candara" w:hAnsi="Candara" w:cs="Arial"/>
          <w:sz w:val="24"/>
          <w:szCs w:val="24"/>
        </w:rPr>
        <w:t xml:space="preserve">por Derechos Arancelarios a la Importación </w:t>
      </w:r>
      <w:bookmarkEnd w:id="21"/>
      <w:r w:rsidRPr="007F50E2">
        <w:rPr>
          <w:rFonts w:ascii="Candara" w:hAnsi="Candara" w:cs="Arial"/>
          <w:sz w:val="24"/>
          <w:szCs w:val="24"/>
        </w:rPr>
        <w:t>de Bienes registró un total de $</w:t>
      </w:r>
      <w:r w:rsidR="00ED067D">
        <w:rPr>
          <w:rFonts w:ascii="Candara" w:hAnsi="Candara" w:cs="Arial"/>
          <w:sz w:val="24"/>
          <w:szCs w:val="24"/>
        </w:rPr>
        <w:t>1</w:t>
      </w:r>
      <w:r w:rsidR="00722A7E">
        <w:rPr>
          <w:rFonts w:ascii="Candara" w:hAnsi="Candara" w:cs="Arial"/>
          <w:sz w:val="24"/>
          <w:szCs w:val="24"/>
        </w:rPr>
        <w:t>8</w:t>
      </w:r>
      <w:r w:rsidR="006E72C0">
        <w:rPr>
          <w:rFonts w:ascii="Candara" w:hAnsi="Candara" w:cs="Arial"/>
          <w:sz w:val="24"/>
          <w:szCs w:val="24"/>
        </w:rPr>
        <w:t>6.8</w:t>
      </w:r>
      <w:r w:rsidRPr="007F50E2">
        <w:rPr>
          <w:rFonts w:ascii="Candara" w:hAnsi="Candara" w:cs="Arial"/>
          <w:sz w:val="24"/>
          <w:szCs w:val="24"/>
          <w:lang w:val="es-419"/>
        </w:rPr>
        <w:t xml:space="preserve"> </w:t>
      </w:r>
      <w:r w:rsidRPr="007F50E2">
        <w:rPr>
          <w:rFonts w:ascii="Candara" w:hAnsi="Candara" w:cs="Arial"/>
          <w:sz w:val="24"/>
          <w:szCs w:val="24"/>
        </w:rPr>
        <w:t xml:space="preserve">millones, </w:t>
      </w:r>
      <w:r w:rsidRPr="007F50E2">
        <w:rPr>
          <w:rFonts w:ascii="Candara" w:hAnsi="Candara" w:cs="Arial"/>
          <w:sz w:val="24"/>
          <w:szCs w:val="24"/>
          <w:lang w:val="es-419"/>
        </w:rPr>
        <w:t xml:space="preserve">reflejando un </w:t>
      </w:r>
      <w:r w:rsidR="00042C94">
        <w:rPr>
          <w:rFonts w:ascii="Candara" w:hAnsi="Candara" w:cs="Arial"/>
          <w:sz w:val="24"/>
          <w:szCs w:val="24"/>
          <w:lang w:val="es-SV"/>
        </w:rPr>
        <w:t>de</w:t>
      </w:r>
      <w:r w:rsidRPr="007F50E2">
        <w:rPr>
          <w:rFonts w:ascii="Candara" w:hAnsi="Candara" w:cs="Arial"/>
          <w:sz w:val="24"/>
          <w:szCs w:val="24"/>
          <w:lang w:val="es-419"/>
        </w:rPr>
        <w:t xml:space="preserve">crecimiento de </w:t>
      </w:r>
      <w:r w:rsidR="00722A7E">
        <w:rPr>
          <w:rFonts w:ascii="Candara" w:hAnsi="Candara" w:cs="Arial"/>
          <w:sz w:val="24"/>
          <w:szCs w:val="24"/>
          <w:lang w:val="es-419"/>
        </w:rPr>
        <w:t>19.</w:t>
      </w:r>
      <w:r w:rsidR="006E72C0">
        <w:rPr>
          <w:rFonts w:ascii="Candara" w:hAnsi="Candara" w:cs="Arial"/>
          <w:sz w:val="24"/>
          <w:szCs w:val="24"/>
          <w:lang w:val="es-419"/>
        </w:rPr>
        <w:t>5</w:t>
      </w:r>
      <w:r w:rsidRPr="007F50E2">
        <w:rPr>
          <w:rFonts w:ascii="Candara" w:hAnsi="Candara" w:cs="Arial"/>
          <w:sz w:val="24"/>
          <w:szCs w:val="24"/>
        </w:rPr>
        <w:t xml:space="preserve">%, </w:t>
      </w:r>
      <w:r w:rsidR="00EE6B48" w:rsidRPr="00F30D9F">
        <w:rPr>
          <w:rFonts w:ascii="Candara" w:hAnsi="Candara" w:cs="Arial"/>
          <w:sz w:val="24"/>
          <w:szCs w:val="24"/>
        </w:rPr>
        <w:t xml:space="preserve">también </w:t>
      </w:r>
      <w:r w:rsidRPr="00F30D9F">
        <w:rPr>
          <w:rFonts w:ascii="Candara" w:hAnsi="Candara" w:cs="Arial"/>
          <w:sz w:val="24"/>
          <w:szCs w:val="24"/>
        </w:rPr>
        <w:t>asociado a</w:t>
      </w:r>
      <w:r w:rsidR="00F30D9F" w:rsidRPr="00F30D9F">
        <w:rPr>
          <w:rFonts w:ascii="Candara" w:hAnsi="Candara" w:cs="Arial"/>
          <w:sz w:val="24"/>
          <w:szCs w:val="24"/>
        </w:rPr>
        <w:t xml:space="preserve"> la reducción</w:t>
      </w:r>
      <w:r w:rsidRPr="00F30D9F">
        <w:rPr>
          <w:rFonts w:ascii="Candara" w:hAnsi="Candara" w:cs="Arial"/>
          <w:sz w:val="24"/>
          <w:szCs w:val="24"/>
        </w:rPr>
        <w:t xml:space="preserve"> de las importaciones </w:t>
      </w:r>
      <w:r w:rsidRPr="007921D2">
        <w:rPr>
          <w:rFonts w:ascii="Candara" w:hAnsi="Candara" w:cs="Arial"/>
          <w:sz w:val="24"/>
          <w:szCs w:val="24"/>
        </w:rPr>
        <w:t xml:space="preserve">de </w:t>
      </w:r>
      <w:r w:rsidR="00216005" w:rsidRPr="004E64B5">
        <w:rPr>
          <w:rFonts w:ascii="Candara" w:hAnsi="Candara" w:cs="Arial"/>
          <w:sz w:val="24"/>
          <w:szCs w:val="24"/>
        </w:rPr>
        <w:t>1</w:t>
      </w:r>
      <w:r w:rsidR="00722A7E">
        <w:rPr>
          <w:rFonts w:ascii="Candara" w:hAnsi="Candara" w:cs="Arial"/>
          <w:sz w:val="24"/>
          <w:szCs w:val="24"/>
        </w:rPr>
        <w:t>1.8</w:t>
      </w:r>
      <w:r w:rsidRPr="004E64B5">
        <w:rPr>
          <w:rFonts w:ascii="Candara" w:hAnsi="Candara" w:cs="Arial"/>
          <w:sz w:val="24"/>
          <w:szCs w:val="24"/>
        </w:rPr>
        <w:t>%.</w:t>
      </w:r>
      <w:r w:rsidRPr="007F50E2">
        <w:rPr>
          <w:rFonts w:ascii="Candara" w:hAnsi="Candara" w:cs="Arial"/>
          <w:sz w:val="24"/>
          <w:szCs w:val="24"/>
        </w:rPr>
        <w:t xml:space="preserve">   </w:t>
      </w:r>
    </w:p>
    <w:p w:rsidR="007B2857" w:rsidRPr="007F50E2" w:rsidRDefault="007B2857" w:rsidP="004C388F">
      <w:pPr>
        <w:jc w:val="both"/>
        <w:rPr>
          <w:rFonts w:ascii="Candara" w:hAnsi="Candara"/>
          <w:sz w:val="24"/>
          <w:szCs w:val="24"/>
          <w:lang w:val="es-MX"/>
        </w:rPr>
      </w:pPr>
    </w:p>
    <w:p w:rsidR="00CB6C20" w:rsidRDefault="00CB6C20" w:rsidP="00CB6C20">
      <w:pPr>
        <w:jc w:val="center"/>
        <w:rPr>
          <w:rFonts w:ascii="Candara" w:hAnsi="Candara"/>
          <w:sz w:val="24"/>
          <w:szCs w:val="24"/>
          <w:lang w:val="es-MX"/>
        </w:rPr>
      </w:pPr>
      <w:r w:rsidRPr="007F50E2">
        <w:rPr>
          <w:rFonts w:ascii="Candara" w:hAnsi="Candara"/>
          <w:sz w:val="24"/>
          <w:szCs w:val="24"/>
          <w:lang w:val="es-MX"/>
        </w:rPr>
        <w:t xml:space="preserve">Gráfico 2: Ingresos tributarios del SPNF </w:t>
      </w:r>
      <w:r w:rsidR="00F05512" w:rsidRPr="007F50E2">
        <w:rPr>
          <w:rFonts w:ascii="Candara" w:hAnsi="Candara"/>
          <w:sz w:val="24"/>
          <w:szCs w:val="24"/>
          <w:lang w:val="es-MX"/>
        </w:rPr>
        <w:t xml:space="preserve">a </w:t>
      </w:r>
      <w:r w:rsidR="006854AC">
        <w:rPr>
          <w:rFonts w:ascii="Candara" w:hAnsi="Candara"/>
          <w:sz w:val="24"/>
          <w:szCs w:val="24"/>
          <w:lang w:val="es-MX"/>
        </w:rPr>
        <w:t>diciembre</w:t>
      </w:r>
      <w:r w:rsidRPr="007F50E2">
        <w:rPr>
          <w:rFonts w:ascii="Candara" w:hAnsi="Candara"/>
          <w:sz w:val="24"/>
          <w:szCs w:val="24"/>
          <w:lang w:val="es-MX"/>
        </w:rPr>
        <w:t xml:space="preserve"> 20</w:t>
      </w:r>
      <w:r w:rsidR="00042C94">
        <w:rPr>
          <w:rFonts w:ascii="Candara" w:hAnsi="Candara"/>
          <w:sz w:val="24"/>
          <w:szCs w:val="24"/>
          <w:lang w:val="es-MX"/>
        </w:rPr>
        <w:t>14</w:t>
      </w:r>
      <w:r w:rsidRPr="007F50E2">
        <w:rPr>
          <w:rFonts w:ascii="Candara" w:hAnsi="Candara"/>
          <w:sz w:val="24"/>
          <w:szCs w:val="24"/>
          <w:lang w:val="es-MX"/>
        </w:rPr>
        <w:t xml:space="preserve"> -</w:t>
      </w:r>
      <w:r w:rsidR="00042C94">
        <w:rPr>
          <w:rFonts w:ascii="Candara" w:hAnsi="Candara"/>
          <w:sz w:val="24"/>
          <w:szCs w:val="24"/>
          <w:lang w:val="es-MX"/>
        </w:rPr>
        <w:t>2020</w:t>
      </w:r>
    </w:p>
    <w:p w:rsidR="001E1C63" w:rsidRPr="007F50E2" w:rsidRDefault="001E1C63" w:rsidP="00CB6C20">
      <w:pPr>
        <w:jc w:val="center"/>
        <w:rPr>
          <w:rFonts w:ascii="Candara" w:hAnsi="Candara"/>
          <w:sz w:val="24"/>
          <w:szCs w:val="24"/>
          <w:lang w:val="es-MX"/>
        </w:rPr>
      </w:pPr>
    </w:p>
    <w:p w:rsidR="00CB6C20" w:rsidRPr="007F50E2" w:rsidRDefault="00710FB5" w:rsidP="001E1C63">
      <w:pPr>
        <w:jc w:val="center"/>
        <w:rPr>
          <w:rFonts w:ascii="Candara" w:hAnsi="Candara"/>
          <w:sz w:val="24"/>
          <w:szCs w:val="24"/>
          <w:lang w:val="es-MX"/>
        </w:rPr>
      </w:pPr>
      <w:r w:rsidRPr="00710FB5">
        <w:rPr>
          <w:noProof/>
        </w:rPr>
        <w:drawing>
          <wp:inline distT="0" distB="0" distL="0" distR="0" wp14:anchorId="0EC9CB83" wp14:editId="45984A99">
            <wp:extent cx="4975654" cy="2981884"/>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9117" cy="2989953"/>
                    </a:xfrm>
                    <a:prstGeom prst="rect">
                      <a:avLst/>
                    </a:prstGeom>
                    <a:noFill/>
                    <a:ln>
                      <a:noFill/>
                    </a:ln>
                  </pic:spPr>
                </pic:pic>
              </a:graphicData>
            </a:graphic>
          </wp:inline>
        </w:drawing>
      </w:r>
    </w:p>
    <w:p w:rsidR="004C388F" w:rsidRPr="00BF745F" w:rsidRDefault="004C388F" w:rsidP="004C388F">
      <w:pPr>
        <w:jc w:val="both"/>
        <w:rPr>
          <w:rFonts w:ascii="Candara" w:hAnsi="Candara"/>
          <w:sz w:val="16"/>
          <w:szCs w:val="16"/>
          <w:lang w:val="es-MX"/>
        </w:rPr>
      </w:pPr>
    </w:p>
    <w:p w:rsidR="00AD3B3D" w:rsidRDefault="00F30D9F" w:rsidP="00AD3B3D">
      <w:pPr>
        <w:jc w:val="both"/>
        <w:rPr>
          <w:rFonts w:ascii="Candara" w:hAnsi="Candara" w:cs="Arial"/>
          <w:sz w:val="24"/>
          <w:szCs w:val="24"/>
          <w:lang w:val="es-419"/>
        </w:rPr>
      </w:pPr>
      <w:r>
        <w:rPr>
          <w:rFonts w:ascii="Candara" w:hAnsi="Candara" w:cs="Arial"/>
          <w:sz w:val="24"/>
          <w:szCs w:val="24"/>
          <w:lang w:val="es-SV"/>
        </w:rPr>
        <w:t>E</w:t>
      </w:r>
      <w:r w:rsidR="00AD3B3D" w:rsidRPr="007F50E2">
        <w:rPr>
          <w:rFonts w:ascii="Candara" w:hAnsi="Candara" w:cs="Arial"/>
          <w:sz w:val="24"/>
          <w:szCs w:val="24"/>
          <w:lang w:val="es-419"/>
        </w:rPr>
        <w:t xml:space="preserve">n cuanto a los </w:t>
      </w:r>
      <w:r w:rsidR="00AD3B3D" w:rsidRPr="007F50E2">
        <w:rPr>
          <w:rFonts w:ascii="Candara" w:hAnsi="Candara" w:cs="Arial"/>
          <w:sz w:val="24"/>
          <w:szCs w:val="24"/>
        </w:rPr>
        <w:t>impuestos Específicos al Consumo</w:t>
      </w:r>
      <w:r w:rsidR="00AD3B3D" w:rsidRPr="007F50E2">
        <w:rPr>
          <w:rFonts w:ascii="Candara" w:hAnsi="Candara" w:cs="Arial"/>
          <w:sz w:val="24"/>
          <w:szCs w:val="24"/>
          <w:lang w:val="es-419"/>
        </w:rPr>
        <w:t xml:space="preserve"> de </w:t>
      </w:r>
      <w:r w:rsidR="006D51C7">
        <w:rPr>
          <w:rFonts w:ascii="Candara" w:hAnsi="Candara" w:cs="Arial"/>
          <w:sz w:val="24"/>
          <w:szCs w:val="24"/>
          <w:lang w:val="es-419"/>
        </w:rPr>
        <w:t>P</w:t>
      </w:r>
      <w:r w:rsidR="00AD3B3D" w:rsidRPr="007F50E2">
        <w:rPr>
          <w:rFonts w:ascii="Candara" w:hAnsi="Candara" w:cs="Arial"/>
          <w:sz w:val="24"/>
          <w:szCs w:val="24"/>
          <w:lang w:val="es-419"/>
        </w:rPr>
        <w:t>roductos, estos</w:t>
      </w:r>
      <w:r w:rsidR="00AD3B3D" w:rsidRPr="007F50E2">
        <w:rPr>
          <w:rFonts w:ascii="Candara" w:hAnsi="Candara" w:cs="Arial"/>
          <w:sz w:val="24"/>
          <w:szCs w:val="24"/>
        </w:rPr>
        <w:t xml:space="preserve"> </w:t>
      </w:r>
      <w:r w:rsidR="00AD3B3D" w:rsidRPr="007F50E2">
        <w:rPr>
          <w:rFonts w:ascii="Candara" w:hAnsi="Candara" w:cs="Arial"/>
          <w:sz w:val="24"/>
          <w:szCs w:val="24"/>
          <w:lang w:val="es-419"/>
        </w:rPr>
        <w:t>ascendieron a</w:t>
      </w:r>
      <w:r w:rsidR="00AD3B3D" w:rsidRPr="007F50E2">
        <w:rPr>
          <w:rFonts w:ascii="Candara" w:hAnsi="Candara" w:cs="Arial"/>
          <w:sz w:val="24"/>
          <w:szCs w:val="24"/>
        </w:rPr>
        <w:t xml:space="preserve"> $</w:t>
      </w:r>
      <w:r w:rsidR="00ED067D">
        <w:rPr>
          <w:rFonts w:ascii="Candara" w:hAnsi="Candara" w:cs="Arial"/>
          <w:sz w:val="24"/>
          <w:szCs w:val="24"/>
        </w:rPr>
        <w:t>1</w:t>
      </w:r>
      <w:r w:rsidR="00722A7E">
        <w:rPr>
          <w:rFonts w:ascii="Candara" w:hAnsi="Candara" w:cs="Arial"/>
          <w:sz w:val="24"/>
          <w:szCs w:val="24"/>
        </w:rPr>
        <w:t>85.0</w:t>
      </w:r>
      <w:r w:rsidR="008E3D86">
        <w:rPr>
          <w:rFonts w:ascii="Candara" w:hAnsi="Candara" w:cs="Arial"/>
          <w:sz w:val="24"/>
          <w:szCs w:val="24"/>
          <w:lang w:val="es-SV"/>
        </w:rPr>
        <w:t xml:space="preserve"> </w:t>
      </w:r>
      <w:r w:rsidR="00AD3B3D" w:rsidRPr="007F50E2">
        <w:rPr>
          <w:rFonts w:ascii="Candara" w:hAnsi="Candara" w:cs="Arial"/>
          <w:sz w:val="24"/>
          <w:szCs w:val="24"/>
        </w:rPr>
        <w:t xml:space="preserve">millones, con </w:t>
      </w:r>
      <w:r w:rsidR="008E3D86">
        <w:rPr>
          <w:rFonts w:ascii="Candara" w:hAnsi="Candara" w:cs="Arial"/>
          <w:sz w:val="24"/>
          <w:szCs w:val="24"/>
        </w:rPr>
        <w:t>un</w:t>
      </w:r>
      <w:r w:rsidR="00216005">
        <w:rPr>
          <w:rFonts w:ascii="Candara" w:hAnsi="Candara" w:cs="Arial"/>
          <w:sz w:val="24"/>
          <w:szCs w:val="24"/>
        </w:rPr>
        <w:t>a</w:t>
      </w:r>
      <w:r w:rsidR="008E3D86">
        <w:rPr>
          <w:rFonts w:ascii="Candara" w:hAnsi="Candara" w:cs="Arial"/>
          <w:sz w:val="24"/>
          <w:szCs w:val="24"/>
        </w:rPr>
        <w:t xml:space="preserve"> </w:t>
      </w:r>
      <w:r w:rsidR="00216005">
        <w:rPr>
          <w:rFonts w:ascii="Candara" w:hAnsi="Candara" w:cs="Arial"/>
          <w:sz w:val="24"/>
          <w:szCs w:val="24"/>
        </w:rPr>
        <w:t xml:space="preserve">variación </w:t>
      </w:r>
      <w:r w:rsidR="00AD3B3D" w:rsidRPr="007F50E2">
        <w:rPr>
          <w:rFonts w:ascii="Candara" w:hAnsi="Candara" w:cs="Arial"/>
          <w:sz w:val="24"/>
          <w:szCs w:val="24"/>
          <w:lang w:val="es-419"/>
        </w:rPr>
        <w:t xml:space="preserve">de </w:t>
      </w:r>
      <w:r w:rsidR="00ED067D">
        <w:rPr>
          <w:rFonts w:ascii="Candara" w:hAnsi="Candara" w:cs="Arial"/>
          <w:sz w:val="24"/>
          <w:szCs w:val="24"/>
          <w:lang w:val="es-419"/>
        </w:rPr>
        <w:t>-</w:t>
      </w:r>
      <w:r w:rsidR="00722A7E">
        <w:rPr>
          <w:rFonts w:ascii="Candara" w:hAnsi="Candara" w:cs="Arial"/>
          <w:sz w:val="24"/>
          <w:szCs w:val="24"/>
          <w:lang w:val="es-419"/>
        </w:rPr>
        <w:t>3.8</w:t>
      </w:r>
      <w:r w:rsidR="00AD3B3D" w:rsidRPr="007F50E2">
        <w:rPr>
          <w:rFonts w:ascii="Candara" w:hAnsi="Candara" w:cs="Arial"/>
          <w:sz w:val="24"/>
          <w:szCs w:val="24"/>
          <w:lang w:val="es-SV"/>
        </w:rPr>
        <w:t xml:space="preserve">% </w:t>
      </w:r>
      <w:r w:rsidR="00AD3B3D" w:rsidRPr="007F50E2">
        <w:rPr>
          <w:rFonts w:ascii="Candara" w:hAnsi="Candara" w:cs="Arial"/>
          <w:sz w:val="24"/>
          <w:szCs w:val="24"/>
          <w:lang w:val="es-419"/>
        </w:rPr>
        <w:t>con respecto a 201</w:t>
      </w:r>
      <w:r w:rsidR="00042C94">
        <w:rPr>
          <w:rFonts w:ascii="Candara" w:hAnsi="Candara" w:cs="Arial"/>
          <w:sz w:val="24"/>
          <w:szCs w:val="24"/>
          <w:lang w:val="es-SV"/>
        </w:rPr>
        <w:t>9</w:t>
      </w:r>
      <w:r w:rsidR="00AD3B3D" w:rsidRPr="007F50E2">
        <w:rPr>
          <w:rFonts w:ascii="Candara" w:hAnsi="Candara" w:cs="Arial"/>
          <w:sz w:val="24"/>
          <w:szCs w:val="24"/>
          <w:lang w:val="es-419"/>
        </w:rPr>
        <w:t xml:space="preserve">, que responde a </w:t>
      </w:r>
      <w:r w:rsidR="00216005">
        <w:rPr>
          <w:rFonts w:ascii="Candara" w:hAnsi="Candara" w:cs="Arial"/>
          <w:sz w:val="24"/>
          <w:szCs w:val="24"/>
          <w:lang w:val="es-419"/>
        </w:rPr>
        <w:t>reducciones</w:t>
      </w:r>
      <w:r w:rsidR="00AD3B3D" w:rsidRPr="007F50E2">
        <w:rPr>
          <w:rFonts w:ascii="Candara" w:hAnsi="Candara" w:cs="Arial"/>
          <w:sz w:val="24"/>
          <w:szCs w:val="24"/>
          <w:lang w:val="es-419"/>
        </w:rPr>
        <w:t xml:space="preserve"> </w:t>
      </w:r>
      <w:r w:rsidR="00AD3B3D" w:rsidRPr="007F50E2">
        <w:rPr>
          <w:rFonts w:ascii="Candara" w:hAnsi="Candara" w:cs="Arial"/>
          <w:sz w:val="24"/>
          <w:szCs w:val="24"/>
          <w:lang w:val="es-SV"/>
        </w:rPr>
        <w:t xml:space="preserve">en </w:t>
      </w:r>
      <w:r w:rsidR="00EE6B48">
        <w:rPr>
          <w:rFonts w:ascii="Candara" w:hAnsi="Candara" w:cs="Arial"/>
          <w:sz w:val="24"/>
          <w:szCs w:val="24"/>
          <w:lang w:val="es-419"/>
        </w:rPr>
        <w:t xml:space="preserve">la mayoría de los </w:t>
      </w:r>
      <w:r w:rsidR="00EE6B48" w:rsidRPr="002F0FC6">
        <w:rPr>
          <w:rFonts w:ascii="Candara" w:hAnsi="Candara" w:cs="Arial"/>
          <w:sz w:val="24"/>
          <w:szCs w:val="24"/>
          <w:lang w:val="es-419"/>
        </w:rPr>
        <w:t>rubros</w:t>
      </w:r>
      <w:r w:rsidR="00216005" w:rsidRPr="002F0FC6">
        <w:rPr>
          <w:rFonts w:ascii="Candara" w:hAnsi="Candara" w:cs="Arial"/>
          <w:sz w:val="24"/>
          <w:szCs w:val="24"/>
          <w:lang w:val="es-419"/>
        </w:rPr>
        <w:t xml:space="preserve"> </w:t>
      </w:r>
      <w:r w:rsidR="00912173">
        <w:rPr>
          <w:rFonts w:ascii="Candara" w:hAnsi="Candara" w:cs="Arial"/>
          <w:sz w:val="24"/>
          <w:szCs w:val="24"/>
          <w:lang w:val="es-419"/>
        </w:rPr>
        <w:t>específicamente en los siguientes</w:t>
      </w:r>
      <w:r w:rsidR="002F0FC6" w:rsidRPr="002F0FC6">
        <w:rPr>
          <w:rFonts w:ascii="Candara" w:hAnsi="Candara" w:cs="Arial"/>
          <w:sz w:val="24"/>
          <w:szCs w:val="24"/>
          <w:lang w:val="es-419"/>
        </w:rPr>
        <w:t>: gaseosa, cervezas y combustibles</w:t>
      </w:r>
      <w:r w:rsidR="0041785E">
        <w:rPr>
          <w:rFonts w:ascii="Candara" w:hAnsi="Candara" w:cs="Arial"/>
          <w:sz w:val="24"/>
          <w:szCs w:val="24"/>
          <w:lang w:val="es-419"/>
        </w:rPr>
        <w:t>; c</w:t>
      </w:r>
      <w:r w:rsidR="00ED067D" w:rsidRPr="002F0FC6">
        <w:rPr>
          <w:rFonts w:ascii="Candara" w:hAnsi="Candara" w:cs="Arial"/>
          <w:sz w:val="24"/>
          <w:szCs w:val="24"/>
          <w:lang w:val="es-419"/>
        </w:rPr>
        <w:t xml:space="preserve">on </w:t>
      </w:r>
      <w:r w:rsidR="00216005" w:rsidRPr="002F0FC6">
        <w:rPr>
          <w:rFonts w:ascii="Candara" w:hAnsi="Candara" w:cs="Arial"/>
          <w:sz w:val="24"/>
          <w:szCs w:val="24"/>
          <w:lang w:val="es-419"/>
        </w:rPr>
        <w:t>excep</w:t>
      </w:r>
      <w:r w:rsidR="00ED067D" w:rsidRPr="002F0FC6">
        <w:rPr>
          <w:rFonts w:ascii="Candara" w:hAnsi="Candara" w:cs="Arial"/>
          <w:sz w:val="24"/>
          <w:szCs w:val="24"/>
          <w:lang w:val="es-419"/>
        </w:rPr>
        <w:t xml:space="preserve">ción </w:t>
      </w:r>
      <w:r w:rsidR="00216005" w:rsidRPr="002F0FC6">
        <w:rPr>
          <w:rFonts w:ascii="Candara" w:hAnsi="Candara" w:cs="Arial"/>
          <w:sz w:val="24"/>
          <w:szCs w:val="24"/>
          <w:lang w:val="es-419"/>
        </w:rPr>
        <w:t xml:space="preserve">en </w:t>
      </w:r>
      <w:r w:rsidR="00ED067D" w:rsidRPr="002F0FC6">
        <w:rPr>
          <w:rFonts w:ascii="Candara" w:hAnsi="Candara" w:cs="Arial"/>
          <w:sz w:val="24"/>
          <w:szCs w:val="24"/>
          <w:lang w:val="es-419"/>
        </w:rPr>
        <w:t xml:space="preserve">los </w:t>
      </w:r>
      <w:r w:rsidR="00216005" w:rsidRPr="002F0FC6">
        <w:rPr>
          <w:rFonts w:ascii="Candara" w:hAnsi="Candara" w:cs="Arial"/>
          <w:sz w:val="24"/>
          <w:szCs w:val="24"/>
          <w:lang w:val="es-419"/>
        </w:rPr>
        <w:t>productos alcohólicos y cigarrillos</w:t>
      </w:r>
      <w:r w:rsidR="00EE6B48" w:rsidRPr="002F0FC6">
        <w:rPr>
          <w:rFonts w:ascii="Candara" w:hAnsi="Candara" w:cs="Arial"/>
          <w:sz w:val="24"/>
          <w:szCs w:val="24"/>
          <w:lang w:val="es-419"/>
        </w:rPr>
        <w:t>,</w:t>
      </w:r>
      <w:r w:rsidR="00AD3B3D" w:rsidRPr="002F0FC6">
        <w:rPr>
          <w:rFonts w:ascii="Candara" w:hAnsi="Candara" w:cs="Arial"/>
          <w:sz w:val="24"/>
          <w:szCs w:val="24"/>
          <w:lang w:val="es-419"/>
        </w:rPr>
        <w:t xml:space="preserve"> </w:t>
      </w:r>
      <w:r w:rsidR="002F0FC6" w:rsidRPr="002F0FC6">
        <w:rPr>
          <w:rFonts w:ascii="Candara" w:hAnsi="Candara" w:cs="Arial"/>
          <w:sz w:val="24"/>
          <w:szCs w:val="24"/>
          <w:lang w:val="es-419"/>
        </w:rPr>
        <w:t>que registraron aumento</w:t>
      </w:r>
      <w:r w:rsidR="0041785E">
        <w:rPr>
          <w:rFonts w:ascii="Candara" w:hAnsi="Candara" w:cs="Arial"/>
          <w:sz w:val="24"/>
          <w:szCs w:val="24"/>
          <w:lang w:val="es-419"/>
        </w:rPr>
        <w:t>s</w:t>
      </w:r>
      <w:r w:rsidR="002F0FC6" w:rsidRPr="002F0FC6">
        <w:rPr>
          <w:rFonts w:ascii="Candara" w:hAnsi="Candara" w:cs="Arial"/>
          <w:sz w:val="24"/>
          <w:szCs w:val="24"/>
          <w:lang w:val="es-419"/>
        </w:rPr>
        <w:t xml:space="preserve"> de</w:t>
      </w:r>
      <w:r w:rsidR="004E64B5">
        <w:rPr>
          <w:rFonts w:ascii="Candara" w:hAnsi="Candara" w:cs="Arial"/>
          <w:sz w:val="24"/>
          <w:szCs w:val="24"/>
          <w:lang w:val="es-419"/>
        </w:rPr>
        <w:t xml:space="preserve"> </w:t>
      </w:r>
      <w:r w:rsidR="00722A7E">
        <w:rPr>
          <w:rFonts w:ascii="Candara" w:hAnsi="Candara" w:cs="Arial"/>
          <w:sz w:val="24"/>
          <w:szCs w:val="24"/>
          <w:lang w:val="es-419"/>
        </w:rPr>
        <w:t>35.2</w:t>
      </w:r>
      <w:r w:rsidR="004E64B5">
        <w:rPr>
          <w:rFonts w:ascii="Candara" w:hAnsi="Candara" w:cs="Arial"/>
          <w:sz w:val="24"/>
          <w:szCs w:val="24"/>
          <w:lang w:val="es-419"/>
        </w:rPr>
        <w:t>%</w:t>
      </w:r>
      <w:r w:rsidR="002F0FC6" w:rsidRPr="002F0FC6">
        <w:rPr>
          <w:rFonts w:ascii="Candara" w:hAnsi="Candara" w:cs="Arial"/>
          <w:sz w:val="24"/>
          <w:szCs w:val="24"/>
          <w:lang w:val="es-419"/>
        </w:rPr>
        <w:t xml:space="preserve"> y </w:t>
      </w:r>
      <w:r w:rsidR="00722A7E">
        <w:rPr>
          <w:rFonts w:ascii="Candara" w:hAnsi="Candara" w:cs="Arial"/>
          <w:sz w:val="24"/>
          <w:szCs w:val="24"/>
          <w:lang w:val="es-419"/>
        </w:rPr>
        <w:t>4.7</w:t>
      </w:r>
      <w:r w:rsidR="002F0FC6" w:rsidRPr="002F0FC6">
        <w:rPr>
          <w:rFonts w:ascii="Candara" w:hAnsi="Candara" w:cs="Arial"/>
          <w:sz w:val="24"/>
          <w:szCs w:val="24"/>
          <w:lang w:val="es-419"/>
        </w:rPr>
        <w:t>%, respectivamente.</w:t>
      </w:r>
    </w:p>
    <w:p w:rsidR="002F0FC6" w:rsidRPr="007F50E2" w:rsidRDefault="002F0FC6" w:rsidP="00AD3B3D">
      <w:pPr>
        <w:jc w:val="both"/>
        <w:rPr>
          <w:rFonts w:ascii="Candara" w:hAnsi="Candara" w:cs="Arial"/>
          <w:sz w:val="24"/>
          <w:szCs w:val="24"/>
          <w:lang w:val="es-419"/>
        </w:rPr>
      </w:pPr>
    </w:p>
    <w:p w:rsidR="000D3F00" w:rsidRDefault="003D0AED" w:rsidP="000D3F00">
      <w:pPr>
        <w:jc w:val="both"/>
        <w:rPr>
          <w:rFonts w:ascii="Candara" w:hAnsi="Candara" w:cs="Arial"/>
          <w:sz w:val="24"/>
          <w:szCs w:val="24"/>
        </w:rPr>
      </w:pPr>
      <w:r w:rsidRPr="007F50E2">
        <w:rPr>
          <w:rFonts w:ascii="Candara" w:hAnsi="Candara" w:cs="Arial"/>
          <w:sz w:val="24"/>
          <w:szCs w:val="24"/>
        </w:rPr>
        <w:lastRenderedPageBreak/>
        <w:t xml:space="preserve">Las Contribuciones Especiales </w:t>
      </w:r>
      <w:r w:rsidRPr="007F50E2">
        <w:rPr>
          <w:rFonts w:ascii="Candara" w:hAnsi="Candara" w:cs="Arial"/>
          <w:sz w:val="24"/>
          <w:szCs w:val="24"/>
          <w:lang w:val="es-419"/>
        </w:rPr>
        <w:t xml:space="preserve">alcanzaron un valor de </w:t>
      </w:r>
      <w:r w:rsidRPr="007F50E2">
        <w:rPr>
          <w:rFonts w:ascii="Candara" w:hAnsi="Candara" w:cs="Arial"/>
          <w:sz w:val="24"/>
          <w:szCs w:val="24"/>
        </w:rPr>
        <w:t>$</w:t>
      </w:r>
      <w:r w:rsidR="002F0FC6">
        <w:rPr>
          <w:rFonts w:ascii="Candara" w:hAnsi="Candara" w:cs="Arial"/>
          <w:sz w:val="24"/>
          <w:szCs w:val="24"/>
        </w:rPr>
        <w:t>2</w:t>
      </w:r>
      <w:r w:rsidR="00722A7E">
        <w:rPr>
          <w:rFonts w:ascii="Candara" w:hAnsi="Candara" w:cs="Arial"/>
          <w:sz w:val="24"/>
          <w:szCs w:val="24"/>
        </w:rPr>
        <w:t>41.1</w:t>
      </w:r>
      <w:r w:rsidRPr="007F50E2">
        <w:rPr>
          <w:rFonts w:ascii="Candara" w:hAnsi="Candara" w:cs="Arial"/>
          <w:sz w:val="24"/>
          <w:szCs w:val="24"/>
          <w:lang w:val="es-419"/>
        </w:rPr>
        <w:t xml:space="preserve"> </w:t>
      </w:r>
      <w:r w:rsidRPr="007F50E2">
        <w:rPr>
          <w:rFonts w:ascii="Candara" w:hAnsi="Candara" w:cs="Arial"/>
          <w:sz w:val="24"/>
          <w:szCs w:val="24"/>
        </w:rPr>
        <w:t>millones, registrando un</w:t>
      </w:r>
      <w:r w:rsidR="007921D2">
        <w:rPr>
          <w:rFonts w:ascii="Candara" w:hAnsi="Candara" w:cs="Arial"/>
          <w:sz w:val="24"/>
          <w:szCs w:val="24"/>
        </w:rPr>
        <w:t>a</w:t>
      </w:r>
      <w:r w:rsidRPr="007F50E2">
        <w:rPr>
          <w:rFonts w:ascii="Candara" w:hAnsi="Candara" w:cs="Arial"/>
          <w:sz w:val="24"/>
          <w:szCs w:val="24"/>
        </w:rPr>
        <w:t xml:space="preserve"> </w:t>
      </w:r>
      <w:r w:rsidR="007921D2">
        <w:rPr>
          <w:rFonts w:ascii="Candara" w:hAnsi="Candara" w:cs="Arial"/>
          <w:sz w:val="24"/>
          <w:szCs w:val="24"/>
        </w:rPr>
        <w:t xml:space="preserve">caída </w:t>
      </w:r>
      <w:r w:rsidRPr="007F50E2">
        <w:rPr>
          <w:rFonts w:ascii="Candara" w:hAnsi="Candara" w:cs="Arial"/>
          <w:sz w:val="24"/>
          <w:szCs w:val="24"/>
        </w:rPr>
        <w:t xml:space="preserve">de </w:t>
      </w:r>
      <w:r w:rsidR="002F0FC6">
        <w:rPr>
          <w:rFonts w:ascii="Candara" w:hAnsi="Candara" w:cs="Arial"/>
          <w:sz w:val="24"/>
          <w:szCs w:val="24"/>
        </w:rPr>
        <w:t>1</w:t>
      </w:r>
      <w:r w:rsidR="00722A7E">
        <w:rPr>
          <w:rFonts w:ascii="Candara" w:hAnsi="Candara" w:cs="Arial"/>
          <w:sz w:val="24"/>
          <w:szCs w:val="24"/>
        </w:rPr>
        <w:t>5.9</w:t>
      </w:r>
      <w:r w:rsidRPr="007F50E2">
        <w:rPr>
          <w:rFonts w:ascii="Candara" w:hAnsi="Candara" w:cs="Arial"/>
          <w:sz w:val="24"/>
          <w:szCs w:val="24"/>
          <w:lang w:val="es-419"/>
        </w:rPr>
        <w:t>%</w:t>
      </w:r>
      <w:r w:rsidRPr="007F50E2">
        <w:rPr>
          <w:rFonts w:ascii="Candara" w:hAnsi="Candara" w:cs="Arial"/>
          <w:sz w:val="24"/>
          <w:szCs w:val="24"/>
        </w:rPr>
        <w:t xml:space="preserve">, </w:t>
      </w:r>
      <w:r w:rsidR="0071588C">
        <w:rPr>
          <w:rFonts w:ascii="Candara" w:hAnsi="Candara" w:cs="Arial"/>
          <w:sz w:val="24"/>
          <w:szCs w:val="24"/>
        </w:rPr>
        <w:t>destacando las reducciones de FOVIAL y Transporte, con variaciones de - $12.6 millones y -$24.9 millones, respectivamente. L</w:t>
      </w:r>
      <w:r w:rsidR="000D3F00">
        <w:rPr>
          <w:rFonts w:ascii="Candara" w:hAnsi="Candara" w:cs="Arial"/>
          <w:sz w:val="24"/>
          <w:szCs w:val="24"/>
        </w:rPr>
        <w:t>as contribuciones que más aporta</w:t>
      </w:r>
      <w:r w:rsidR="0071588C">
        <w:rPr>
          <w:rFonts w:ascii="Candara" w:hAnsi="Candara" w:cs="Arial"/>
          <w:sz w:val="24"/>
          <w:szCs w:val="24"/>
        </w:rPr>
        <w:t>ron</w:t>
      </w:r>
      <w:r w:rsidR="000D3F00">
        <w:rPr>
          <w:rFonts w:ascii="Candara" w:hAnsi="Candara" w:cs="Arial"/>
          <w:sz w:val="24"/>
          <w:szCs w:val="24"/>
        </w:rPr>
        <w:t xml:space="preserve"> al total</w:t>
      </w:r>
      <w:r w:rsidR="0071588C">
        <w:rPr>
          <w:rFonts w:ascii="Candara" w:hAnsi="Candara" w:cs="Arial"/>
          <w:sz w:val="24"/>
          <w:szCs w:val="24"/>
        </w:rPr>
        <w:t xml:space="preserve"> fueron</w:t>
      </w:r>
      <w:r w:rsidR="004E64B5">
        <w:rPr>
          <w:rFonts w:ascii="Candara" w:hAnsi="Candara" w:cs="Arial"/>
          <w:sz w:val="24"/>
          <w:szCs w:val="24"/>
        </w:rPr>
        <w:t>:</w:t>
      </w:r>
      <w:r w:rsidR="000B1B60">
        <w:rPr>
          <w:rFonts w:ascii="Candara" w:hAnsi="Candara" w:cs="Arial"/>
          <w:sz w:val="24"/>
          <w:szCs w:val="24"/>
        </w:rPr>
        <w:t xml:space="preserve"> </w:t>
      </w:r>
      <w:r w:rsidR="000D3F00">
        <w:rPr>
          <w:rFonts w:ascii="Candara" w:hAnsi="Candara" w:cs="Arial"/>
          <w:sz w:val="24"/>
          <w:szCs w:val="24"/>
        </w:rPr>
        <w:t xml:space="preserve"> </w:t>
      </w:r>
      <w:r w:rsidRPr="007F50E2">
        <w:rPr>
          <w:rFonts w:ascii="Candara" w:hAnsi="Candara" w:cs="Arial"/>
          <w:sz w:val="24"/>
          <w:szCs w:val="24"/>
          <w:lang w:val="es-419"/>
        </w:rPr>
        <w:t>FOVIAL</w:t>
      </w:r>
      <w:r w:rsidR="000D3F00">
        <w:rPr>
          <w:rFonts w:ascii="Candara" w:hAnsi="Candara" w:cs="Arial"/>
          <w:sz w:val="24"/>
          <w:szCs w:val="24"/>
          <w:lang w:val="es-SV"/>
        </w:rPr>
        <w:t xml:space="preserve"> $</w:t>
      </w:r>
      <w:r w:rsidR="00722A7E">
        <w:rPr>
          <w:rFonts w:ascii="Candara" w:hAnsi="Candara" w:cs="Arial"/>
          <w:sz w:val="24"/>
          <w:szCs w:val="24"/>
          <w:lang w:val="es-SV"/>
        </w:rPr>
        <w:t>83.5</w:t>
      </w:r>
      <w:r w:rsidR="000D3F00">
        <w:rPr>
          <w:rFonts w:ascii="Candara" w:hAnsi="Candara" w:cs="Arial"/>
          <w:sz w:val="24"/>
          <w:szCs w:val="24"/>
          <w:lang w:val="es-SV"/>
        </w:rPr>
        <w:t xml:space="preserve"> millones</w:t>
      </w:r>
      <w:r w:rsidR="0071588C">
        <w:rPr>
          <w:rFonts w:ascii="Candara" w:hAnsi="Candara" w:cs="Arial"/>
          <w:sz w:val="24"/>
          <w:szCs w:val="24"/>
          <w:lang w:val="es-SV"/>
        </w:rPr>
        <w:t xml:space="preserve"> y </w:t>
      </w:r>
      <w:r w:rsidR="0041785E">
        <w:rPr>
          <w:rFonts w:ascii="Candara" w:hAnsi="Candara" w:cs="Arial"/>
          <w:sz w:val="24"/>
          <w:szCs w:val="24"/>
          <w:lang w:val="es-SV"/>
        </w:rPr>
        <w:t xml:space="preserve">a la </w:t>
      </w:r>
      <w:r w:rsidR="004C7832" w:rsidRPr="00A70C94">
        <w:rPr>
          <w:rFonts w:ascii="Candara" w:hAnsi="Candara" w:cs="Arial"/>
          <w:sz w:val="24"/>
          <w:szCs w:val="24"/>
          <w:lang w:val="es-SV"/>
        </w:rPr>
        <w:t>Seguridad Pública</w:t>
      </w:r>
      <w:r w:rsidR="00912173">
        <w:rPr>
          <w:rFonts w:ascii="Candara" w:hAnsi="Candara" w:cs="Arial"/>
          <w:sz w:val="24"/>
          <w:szCs w:val="24"/>
          <w:lang w:val="es-SV"/>
        </w:rPr>
        <w:t xml:space="preserve"> por $1</w:t>
      </w:r>
      <w:r w:rsidR="00722A7E">
        <w:rPr>
          <w:rFonts w:ascii="Candara" w:hAnsi="Candara" w:cs="Arial"/>
          <w:sz w:val="24"/>
          <w:szCs w:val="24"/>
          <w:lang w:val="es-SV"/>
        </w:rPr>
        <w:t>27.8</w:t>
      </w:r>
      <w:r w:rsidR="00912173">
        <w:rPr>
          <w:rFonts w:ascii="Candara" w:hAnsi="Candara" w:cs="Arial"/>
          <w:sz w:val="24"/>
          <w:szCs w:val="24"/>
          <w:lang w:val="es-SV"/>
        </w:rPr>
        <w:t xml:space="preserve"> millones</w:t>
      </w:r>
      <w:r w:rsidR="0041785E">
        <w:rPr>
          <w:rFonts w:ascii="Candara" w:hAnsi="Candara" w:cs="Arial"/>
          <w:sz w:val="24"/>
          <w:szCs w:val="24"/>
          <w:lang w:val="es-SV"/>
        </w:rPr>
        <w:t xml:space="preserve">, </w:t>
      </w:r>
      <w:r w:rsidR="00530B1E">
        <w:rPr>
          <w:rFonts w:ascii="Candara" w:hAnsi="Candara" w:cs="Arial"/>
          <w:sz w:val="24"/>
          <w:szCs w:val="24"/>
          <w:lang w:val="es-SV"/>
        </w:rPr>
        <w:t xml:space="preserve">donde </w:t>
      </w:r>
      <w:r w:rsidR="004E64B5">
        <w:rPr>
          <w:rFonts w:ascii="Candara" w:hAnsi="Candara" w:cs="Arial"/>
          <w:sz w:val="24"/>
          <w:szCs w:val="24"/>
          <w:lang w:val="es-SV"/>
        </w:rPr>
        <w:t xml:space="preserve">la originada </w:t>
      </w:r>
      <w:r w:rsidR="00F71F6D" w:rsidRPr="00A70C94">
        <w:rPr>
          <w:rFonts w:ascii="Candara" w:hAnsi="Candara" w:cs="Arial"/>
          <w:sz w:val="24"/>
          <w:szCs w:val="24"/>
          <w:lang w:val="es-SV"/>
        </w:rPr>
        <w:t xml:space="preserve">de </w:t>
      </w:r>
      <w:r w:rsidR="004656B1" w:rsidRPr="00A70C94">
        <w:rPr>
          <w:rFonts w:ascii="Candara" w:hAnsi="Candara" w:cs="Arial"/>
          <w:sz w:val="24"/>
          <w:szCs w:val="24"/>
          <w:lang w:val="es-SV"/>
        </w:rPr>
        <w:t>Grandes Contribuyentes</w:t>
      </w:r>
      <w:r w:rsidR="000D3F00" w:rsidRPr="00A70C94">
        <w:rPr>
          <w:rFonts w:ascii="Candara" w:hAnsi="Candara" w:cs="Arial"/>
          <w:sz w:val="24"/>
          <w:szCs w:val="24"/>
          <w:lang w:val="es-SV"/>
        </w:rPr>
        <w:t xml:space="preserve"> </w:t>
      </w:r>
      <w:r w:rsidR="00530B1E">
        <w:rPr>
          <w:rFonts w:ascii="Candara" w:hAnsi="Candara" w:cs="Arial"/>
          <w:sz w:val="24"/>
          <w:szCs w:val="24"/>
          <w:lang w:val="es-SV"/>
        </w:rPr>
        <w:t>alcanzó</w:t>
      </w:r>
      <w:r w:rsidR="0041785E">
        <w:rPr>
          <w:rFonts w:ascii="Candara" w:hAnsi="Candara" w:cs="Arial"/>
          <w:sz w:val="24"/>
          <w:szCs w:val="24"/>
          <w:lang w:val="es-SV"/>
        </w:rPr>
        <w:t xml:space="preserve"> </w:t>
      </w:r>
      <w:r w:rsidR="000D3F00" w:rsidRPr="00A70C94">
        <w:rPr>
          <w:rFonts w:ascii="Candara" w:hAnsi="Candara" w:cs="Arial"/>
          <w:sz w:val="24"/>
          <w:szCs w:val="24"/>
          <w:lang w:val="es-SV"/>
        </w:rPr>
        <w:t>$</w:t>
      </w:r>
      <w:r w:rsidR="004656B1" w:rsidRPr="00A70C94">
        <w:rPr>
          <w:rFonts w:ascii="Candara" w:hAnsi="Candara" w:cs="Arial"/>
          <w:sz w:val="24"/>
          <w:szCs w:val="24"/>
          <w:lang w:val="es-SV"/>
        </w:rPr>
        <w:t>8</w:t>
      </w:r>
      <w:r w:rsidR="00A70C94" w:rsidRPr="00A70C94">
        <w:rPr>
          <w:rFonts w:ascii="Candara" w:hAnsi="Candara" w:cs="Arial"/>
          <w:sz w:val="24"/>
          <w:szCs w:val="24"/>
          <w:lang w:val="es-SV"/>
        </w:rPr>
        <w:t>4.</w:t>
      </w:r>
      <w:r w:rsidR="00BD61B1">
        <w:rPr>
          <w:rFonts w:ascii="Candara" w:hAnsi="Candara" w:cs="Arial"/>
          <w:sz w:val="24"/>
          <w:szCs w:val="24"/>
          <w:lang w:val="es-SV"/>
        </w:rPr>
        <w:t>7</w:t>
      </w:r>
      <w:r w:rsidR="000D3F00" w:rsidRPr="00A70C94">
        <w:rPr>
          <w:rFonts w:ascii="Candara" w:hAnsi="Candara" w:cs="Arial"/>
          <w:sz w:val="24"/>
          <w:szCs w:val="24"/>
          <w:lang w:val="es-SV"/>
        </w:rPr>
        <w:t xml:space="preserve"> millones</w:t>
      </w:r>
      <w:r w:rsidR="00A70C94" w:rsidRPr="00A70C94">
        <w:rPr>
          <w:rFonts w:ascii="Candara" w:hAnsi="Candara" w:cs="Arial"/>
          <w:sz w:val="24"/>
          <w:szCs w:val="24"/>
          <w:lang w:val="es-SV"/>
        </w:rPr>
        <w:t>.</w:t>
      </w:r>
      <w:r w:rsidR="000D3F00" w:rsidRPr="00A70C94">
        <w:rPr>
          <w:rFonts w:ascii="Candara" w:hAnsi="Candara" w:cs="Arial"/>
          <w:sz w:val="24"/>
          <w:szCs w:val="24"/>
          <w:lang w:val="es-SV"/>
        </w:rPr>
        <w:t xml:space="preserve"> </w:t>
      </w:r>
    </w:p>
    <w:p w:rsidR="00BF745F" w:rsidRPr="003F281B" w:rsidRDefault="00BF745F" w:rsidP="000D3F00">
      <w:pPr>
        <w:jc w:val="both"/>
        <w:rPr>
          <w:rFonts w:ascii="Arial" w:hAnsi="Arial" w:cs="Arial"/>
          <w:i/>
          <w:sz w:val="22"/>
          <w:szCs w:val="22"/>
          <w:lang w:val="es-SV"/>
        </w:rPr>
      </w:pPr>
    </w:p>
    <w:p w:rsidR="00BF745F" w:rsidRPr="00533E72" w:rsidRDefault="00BF745F" w:rsidP="00BF745F">
      <w:pPr>
        <w:jc w:val="both"/>
        <w:rPr>
          <w:rFonts w:ascii="Candara" w:hAnsi="Candara" w:cs="Arial"/>
          <w:sz w:val="24"/>
          <w:szCs w:val="24"/>
        </w:rPr>
      </w:pPr>
      <w:r w:rsidRPr="007F50E2">
        <w:rPr>
          <w:rFonts w:ascii="Candara" w:hAnsi="Candara" w:cs="Arial"/>
          <w:sz w:val="24"/>
          <w:szCs w:val="24"/>
        </w:rPr>
        <w:t xml:space="preserve">En el rubro </w:t>
      </w:r>
      <w:r w:rsidR="00420EE2">
        <w:rPr>
          <w:rFonts w:ascii="Candara" w:hAnsi="Candara" w:cs="Arial"/>
          <w:sz w:val="24"/>
          <w:szCs w:val="24"/>
        </w:rPr>
        <w:t>O</w:t>
      </w:r>
      <w:r w:rsidRPr="007F50E2">
        <w:rPr>
          <w:rFonts w:ascii="Candara" w:hAnsi="Candara" w:cs="Arial"/>
          <w:sz w:val="24"/>
          <w:szCs w:val="24"/>
        </w:rPr>
        <w:t xml:space="preserve">tros, </w:t>
      </w:r>
      <w:r w:rsidR="0041785E">
        <w:rPr>
          <w:rFonts w:ascii="Candara" w:hAnsi="Candara" w:cs="Arial"/>
          <w:sz w:val="24"/>
          <w:szCs w:val="24"/>
        </w:rPr>
        <w:t>compuesto principalmente por transferencia</w:t>
      </w:r>
      <w:r w:rsidR="00530B1E">
        <w:rPr>
          <w:rFonts w:ascii="Candara" w:hAnsi="Candara" w:cs="Arial"/>
          <w:sz w:val="24"/>
          <w:szCs w:val="24"/>
        </w:rPr>
        <w:t>s</w:t>
      </w:r>
      <w:r w:rsidR="0041785E">
        <w:rPr>
          <w:rFonts w:ascii="Candara" w:hAnsi="Candara" w:cs="Arial"/>
          <w:sz w:val="24"/>
          <w:szCs w:val="24"/>
        </w:rPr>
        <w:t xml:space="preserve"> de propiedades y el impuesto especial 1ª. Matricula, </w:t>
      </w:r>
      <w:r w:rsidRPr="007F50E2">
        <w:rPr>
          <w:rFonts w:ascii="Candara" w:hAnsi="Candara" w:cs="Arial"/>
          <w:sz w:val="24"/>
          <w:szCs w:val="24"/>
        </w:rPr>
        <w:t>la recaudación ascendió a $</w:t>
      </w:r>
      <w:r w:rsidR="00BD61B1">
        <w:rPr>
          <w:rFonts w:ascii="Candara" w:hAnsi="Candara" w:cs="Arial"/>
          <w:sz w:val="24"/>
          <w:szCs w:val="24"/>
        </w:rPr>
        <w:t>33.</w:t>
      </w:r>
      <w:r w:rsidR="00E82404">
        <w:rPr>
          <w:rFonts w:ascii="Candara" w:hAnsi="Candara" w:cs="Arial"/>
          <w:sz w:val="24"/>
          <w:szCs w:val="24"/>
        </w:rPr>
        <w:t xml:space="preserve">1 </w:t>
      </w:r>
      <w:r w:rsidRPr="007F50E2">
        <w:rPr>
          <w:rFonts w:ascii="Candara" w:hAnsi="Candara" w:cs="Arial"/>
          <w:sz w:val="24"/>
          <w:szCs w:val="24"/>
        </w:rPr>
        <w:t xml:space="preserve">millones </w:t>
      </w:r>
      <w:r w:rsidRPr="007F50E2">
        <w:rPr>
          <w:rFonts w:ascii="Candara" w:hAnsi="Candara" w:cs="Arial"/>
          <w:sz w:val="24"/>
          <w:szCs w:val="24"/>
          <w:lang w:val="es-419"/>
        </w:rPr>
        <w:t xml:space="preserve">con un </w:t>
      </w:r>
      <w:r>
        <w:rPr>
          <w:rFonts w:ascii="Candara" w:hAnsi="Candara" w:cs="Arial"/>
          <w:sz w:val="24"/>
          <w:szCs w:val="24"/>
          <w:lang w:val="es-SV"/>
        </w:rPr>
        <w:t>de</w:t>
      </w:r>
      <w:r w:rsidRPr="007F50E2">
        <w:rPr>
          <w:rFonts w:ascii="Candara" w:hAnsi="Candara" w:cs="Arial"/>
          <w:sz w:val="24"/>
          <w:szCs w:val="24"/>
          <w:lang w:val="es-419"/>
        </w:rPr>
        <w:t>crecimiento de</w:t>
      </w:r>
      <w:r>
        <w:rPr>
          <w:rFonts w:ascii="Candara" w:hAnsi="Candara" w:cs="Arial"/>
          <w:sz w:val="24"/>
          <w:szCs w:val="24"/>
          <w:lang w:val="es-SV"/>
        </w:rPr>
        <w:t>l</w:t>
      </w:r>
      <w:r w:rsidRPr="007F50E2">
        <w:rPr>
          <w:rFonts w:ascii="Candara" w:hAnsi="Candara" w:cs="Arial"/>
          <w:sz w:val="24"/>
          <w:szCs w:val="24"/>
          <w:lang w:val="es-419"/>
        </w:rPr>
        <w:t xml:space="preserve"> </w:t>
      </w:r>
      <w:r w:rsidR="00BD61B1">
        <w:rPr>
          <w:rFonts w:ascii="Candara" w:hAnsi="Candara" w:cs="Arial"/>
          <w:sz w:val="24"/>
          <w:szCs w:val="24"/>
          <w:lang w:val="es-419"/>
        </w:rPr>
        <w:t>39.1</w:t>
      </w:r>
      <w:r>
        <w:rPr>
          <w:rFonts w:ascii="Candara" w:hAnsi="Candara" w:cs="Arial"/>
          <w:sz w:val="24"/>
          <w:szCs w:val="24"/>
          <w:lang w:val="es-SV"/>
        </w:rPr>
        <w:t>%</w:t>
      </w:r>
      <w:r w:rsidRPr="007F50E2">
        <w:rPr>
          <w:rFonts w:ascii="Candara" w:hAnsi="Candara" w:cs="Arial"/>
          <w:sz w:val="24"/>
          <w:szCs w:val="24"/>
          <w:lang w:val="es-419"/>
        </w:rPr>
        <w:t xml:space="preserve"> con respecto al resultado obtenido en </w:t>
      </w:r>
      <w:r w:rsidR="006854AC">
        <w:rPr>
          <w:rFonts w:ascii="Candara" w:hAnsi="Candara" w:cs="Arial"/>
          <w:sz w:val="24"/>
          <w:szCs w:val="24"/>
          <w:lang w:val="es-419"/>
        </w:rPr>
        <w:t>diciembre</w:t>
      </w:r>
      <w:r w:rsidRPr="007F50E2">
        <w:rPr>
          <w:rFonts w:ascii="Candara" w:hAnsi="Candara" w:cs="Arial"/>
          <w:sz w:val="24"/>
          <w:szCs w:val="24"/>
          <w:lang w:val="es-419"/>
        </w:rPr>
        <w:t xml:space="preserve"> </w:t>
      </w:r>
      <w:r>
        <w:rPr>
          <w:rFonts w:ascii="Candara" w:hAnsi="Candara" w:cs="Arial"/>
          <w:sz w:val="24"/>
          <w:szCs w:val="24"/>
        </w:rPr>
        <w:t xml:space="preserve">2019, </w:t>
      </w:r>
      <w:r w:rsidR="0041785E">
        <w:rPr>
          <w:rFonts w:ascii="Candara" w:hAnsi="Candara" w:cs="Arial"/>
          <w:sz w:val="24"/>
          <w:szCs w:val="24"/>
        </w:rPr>
        <w:t xml:space="preserve">destacando la </w:t>
      </w:r>
      <w:r w:rsidR="00E51F7F">
        <w:rPr>
          <w:rFonts w:ascii="Candara" w:hAnsi="Candara" w:cs="Arial"/>
          <w:sz w:val="24"/>
          <w:szCs w:val="24"/>
        </w:rPr>
        <w:t>disminución de ingresos en el Impuesto a la Tra</w:t>
      </w:r>
      <w:r w:rsidR="0095419B">
        <w:rPr>
          <w:rFonts w:ascii="Candara" w:hAnsi="Candara" w:cs="Arial"/>
          <w:sz w:val="24"/>
          <w:szCs w:val="24"/>
        </w:rPr>
        <w:t>n</w:t>
      </w:r>
      <w:r w:rsidR="00E51F7F">
        <w:rPr>
          <w:rFonts w:ascii="Candara" w:hAnsi="Candara" w:cs="Arial"/>
          <w:sz w:val="24"/>
          <w:szCs w:val="24"/>
        </w:rPr>
        <w:t xml:space="preserve">sferencia de </w:t>
      </w:r>
      <w:r w:rsidR="004E64B5">
        <w:rPr>
          <w:rFonts w:ascii="Candara" w:hAnsi="Candara" w:cs="Arial"/>
          <w:sz w:val="24"/>
          <w:szCs w:val="24"/>
        </w:rPr>
        <w:t>propiedades</w:t>
      </w:r>
      <w:r w:rsidR="00E51F7F">
        <w:rPr>
          <w:rFonts w:ascii="Candara" w:hAnsi="Candara" w:cs="Arial"/>
          <w:sz w:val="24"/>
          <w:szCs w:val="24"/>
        </w:rPr>
        <w:t xml:space="preserve"> por -$</w:t>
      </w:r>
      <w:r w:rsidR="00BD61B1">
        <w:rPr>
          <w:rFonts w:ascii="Candara" w:hAnsi="Candara" w:cs="Arial"/>
          <w:sz w:val="24"/>
          <w:szCs w:val="24"/>
        </w:rPr>
        <w:t>8.1</w:t>
      </w:r>
      <w:r w:rsidR="00E51F7F">
        <w:rPr>
          <w:rFonts w:ascii="Candara" w:hAnsi="Candara" w:cs="Arial"/>
          <w:sz w:val="24"/>
          <w:szCs w:val="24"/>
        </w:rPr>
        <w:t xml:space="preserve"> millones</w:t>
      </w:r>
      <w:r w:rsidR="00137776">
        <w:rPr>
          <w:rFonts w:ascii="Candara" w:hAnsi="Candara" w:cs="Arial"/>
          <w:sz w:val="24"/>
          <w:szCs w:val="24"/>
        </w:rPr>
        <w:t>.</w:t>
      </w:r>
    </w:p>
    <w:p w:rsidR="00BF745F" w:rsidRPr="00BF745F" w:rsidRDefault="00BF745F" w:rsidP="00CB6C20">
      <w:pPr>
        <w:jc w:val="center"/>
        <w:rPr>
          <w:rFonts w:ascii="Candara" w:hAnsi="Candara"/>
          <w:sz w:val="24"/>
          <w:szCs w:val="24"/>
        </w:rPr>
      </w:pPr>
    </w:p>
    <w:p w:rsidR="00CB6C20" w:rsidRDefault="00CB6C20" w:rsidP="00CB6C20">
      <w:pPr>
        <w:jc w:val="center"/>
        <w:rPr>
          <w:rFonts w:ascii="Candara" w:hAnsi="Candara"/>
          <w:sz w:val="24"/>
          <w:szCs w:val="24"/>
          <w:lang w:val="es-MX"/>
        </w:rPr>
      </w:pPr>
      <w:r w:rsidRPr="007F50E2">
        <w:rPr>
          <w:rFonts w:ascii="Candara" w:hAnsi="Candara"/>
          <w:sz w:val="24"/>
          <w:szCs w:val="24"/>
          <w:lang w:val="es-MX"/>
        </w:rPr>
        <w:t>Gráfico 3: Ingresos tributarios del SPNF por fuente</w:t>
      </w:r>
      <w:r w:rsidR="000B1B60">
        <w:rPr>
          <w:rFonts w:ascii="Candara" w:hAnsi="Candara"/>
          <w:sz w:val="24"/>
          <w:szCs w:val="24"/>
          <w:lang w:val="es-MX"/>
        </w:rPr>
        <w:t>s</w:t>
      </w:r>
      <w:r w:rsidRPr="007F50E2">
        <w:rPr>
          <w:rFonts w:ascii="Candara" w:hAnsi="Candara"/>
          <w:sz w:val="24"/>
          <w:szCs w:val="24"/>
          <w:lang w:val="es-MX"/>
        </w:rPr>
        <w:t xml:space="preserve"> </w:t>
      </w:r>
      <w:r w:rsidR="00F05512" w:rsidRPr="007F50E2">
        <w:rPr>
          <w:rFonts w:ascii="Candara" w:hAnsi="Candara"/>
          <w:sz w:val="24"/>
          <w:szCs w:val="24"/>
          <w:lang w:val="es-MX"/>
        </w:rPr>
        <w:t xml:space="preserve">a </w:t>
      </w:r>
      <w:r w:rsidR="006854AC">
        <w:rPr>
          <w:rFonts w:ascii="Candara" w:hAnsi="Candara"/>
          <w:sz w:val="24"/>
          <w:szCs w:val="24"/>
          <w:lang w:val="es-MX"/>
        </w:rPr>
        <w:t>diciembre</w:t>
      </w:r>
      <w:r w:rsidR="001C00F7" w:rsidRPr="007F50E2">
        <w:rPr>
          <w:rFonts w:ascii="Candara" w:hAnsi="Candara"/>
          <w:sz w:val="24"/>
          <w:szCs w:val="24"/>
          <w:lang w:val="es-MX"/>
        </w:rPr>
        <w:t xml:space="preserve"> 20</w:t>
      </w:r>
      <w:r w:rsidR="00563EE7" w:rsidRPr="007F50E2">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w:t>
      </w:r>
      <w:r w:rsidR="00042C94">
        <w:rPr>
          <w:rFonts w:ascii="Candara" w:hAnsi="Candara"/>
          <w:sz w:val="24"/>
          <w:szCs w:val="24"/>
          <w:lang w:val="es-MX"/>
        </w:rPr>
        <w:t>2020</w:t>
      </w:r>
    </w:p>
    <w:p w:rsidR="007A6BC6" w:rsidRPr="007A6BC6" w:rsidRDefault="007A6BC6" w:rsidP="00CB6C20">
      <w:pPr>
        <w:jc w:val="center"/>
        <w:rPr>
          <w:rFonts w:ascii="Candara" w:hAnsi="Candara"/>
          <w:sz w:val="16"/>
          <w:szCs w:val="16"/>
          <w:lang w:val="es-MX"/>
        </w:rPr>
      </w:pPr>
    </w:p>
    <w:p w:rsidR="001E1C63" w:rsidRPr="000B1B60" w:rsidRDefault="0039592C" w:rsidP="00CB6C20">
      <w:pPr>
        <w:jc w:val="center"/>
        <w:rPr>
          <w:rFonts w:ascii="Candara" w:hAnsi="Candara"/>
          <w:sz w:val="24"/>
          <w:szCs w:val="24"/>
          <w:lang w:val="es-SV"/>
        </w:rPr>
      </w:pPr>
      <w:r w:rsidRPr="0039592C">
        <w:rPr>
          <w:noProof/>
        </w:rPr>
        <w:drawing>
          <wp:inline distT="0" distB="0" distL="0" distR="0" wp14:anchorId="56FAED68" wp14:editId="5DF85A70">
            <wp:extent cx="4685621" cy="2808069"/>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7878" cy="2815414"/>
                    </a:xfrm>
                    <a:prstGeom prst="rect">
                      <a:avLst/>
                    </a:prstGeom>
                    <a:noFill/>
                    <a:ln>
                      <a:noFill/>
                    </a:ln>
                  </pic:spPr>
                </pic:pic>
              </a:graphicData>
            </a:graphic>
          </wp:inline>
        </w:drawing>
      </w:r>
    </w:p>
    <w:p w:rsidR="007D2C14" w:rsidRPr="00BF745F" w:rsidRDefault="007D2C14" w:rsidP="001E1C63">
      <w:pPr>
        <w:jc w:val="center"/>
        <w:rPr>
          <w:rFonts w:ascii="Candara" w:hAnsi="Candara"/>
          <w:sz w:val="16"/>
          <w:szCs w:val="16"/>
          <w:lang w:val="es-MX"/>
        </w:rPr>
      </w:pPr>
    </w:p>
    <w:p w:rsidR="007A6BC6" w:rsidRPr="007A6BC6" w:rsidRDefault="007A6BC6" w:rsidP="007A6BC6">
      <w:pPr>
        <w:jc w:val="both"/>
        <w:rPr>
          <w:rFonts w:ascii="Arial" w:hAnsi="Arial" w:cs="Arial"/>
          <w:sz w:val="18"/>
          <w:szCs w:val="18"/>
          <w:lang w:val="es-SV" w:eastAsia="es-SV"/>
        </w:rPr>
      </w:pPr>
      <w:r w:rsidRPr="007A6BC6">
        <w:rPr>
          <w:rFonts w:ascii="Candara" w:hAnsi="Candara"/>
          <w:sz w:val="18"/>
          <w:szCs w:val="18"/>
          <w:lang w:val="es-MX"/>
        </w:rPr>
        <w:t xml:space="preserve">                     </w:t>
      </w:r>
      <w:r w:rsidRPr="007A6BC6">
        <w:rPr>
          <w:rFonts w:ascii="Arial" w:hAnsi="Arial" w:cs="Arial"/>
          <w:sz w:val="18"/>
          <w:szCs w:val="18"/>
          <w:lang w:val="es-SV" w:eastAsia="es-SV"/>
        </w:rPr>
        <w:t>1/ transferencias de propiedades y el impuesto especial 1</w:t>
      </w:r>
      <w:r w:rsidRPr="007A6BC6">
        <w:rPr>
          <w:rFonts w:ascii="Arial" w:hAnsi="Arial" w:cs="Arial"/>
          <w:sz w:val="18"/>
          <w:szCs w:val="18"/>
          <w:vertAlign w:val="superscript"/>
          <w:lang w:val="es-SV" w:eastAsia="es-SV"/>
        </w:rPr>
        <w:t>a</w:t>
      </w:r>
      <w:r w:rsidRPr="007A6BC6">
        <w:rPr>
          <w:rFonts w:ascii="Arial" w:hAnsi="Arial" w:cs="Arial"/>
          <w:sz w:val="18"/>
          <w:szCs w:val="18"/>
          <w:lang w:val="es-SV" w:eastAsia="es-SV"/>
        </w:rPr>
        <w:t xml:space="preserve"> primera matricula</w:t>
      </w:r>
    </w:p>
    <w:p w:rsidR="007A6BC6" w:rsidRPr="007A6BC6" w:rsidRDefault="007A6BC6" w:rsidP="004A685A">
      <w:pPr>
        <w:jc w:val="both"/>
        <w:rPr>
          <w:rFonts w:ascii="Candara" w:hAnsi="Candara"/>
          <w:sz w:val="18"/>
          <w:szCs w:val="18"/>
          <w:lang w:val="es-SV"/>
        </w:rPr>
      </w:pPr>
    </w:p>
    <w:p w:rsidR="0028723E" w:rsidRPr="008067E6" w:rsidRDefault="0028723E" w:rsidP="0028723E">
      <w:pPr>
        <w:pStyle w:val="Heading3"/>
        <w:rPr>
          <w:lang w:val="es-MX"/>
        </w:rPr>
      </w:pPr>
      <w:bookmarkStart w:id="22" w:name="_Toc64531466"/>
      <w:r w:rsidRPr="008067E6">
        <w:rPr>
          <w:lang w:val="es-MX"/>
        </w:rPr>
        <w:t>1.1.1 Recaudación según Car</w:t>
      </w:r>
      <w:r w:rsidR="00F41C10" w:rsidRPr="008067E6">
        <w:rPr>
          <w:lang w:val="es-MX"/>
        </w:rPr>
        <w:t>t</w:t>
      </w:r>
      <w:r w:rsidRPr="008067E6">
        <w:rPr>
          <w:lang w:val="es-MX"/>
        </w:rPr>
        <w:t>era de Contribuyentes</w:t>
      </w:r>
      <w:bookmarkEnd w:id="22"/>
    </w:p>
    <w:p w:rsidR="0028723E" w:rsidRPr="008067E6" w:rsidRDefault="0028723E" w:rsidP="0028723E">
      <w:pPr>
        <w:pStyle w:val="ListParagraph"/>
        <w:jc w:val="both"/>
        <w:rPr>
          <w:rFonts w:ascii="Candara" w:hAnsi="Candara"/>
          <w:sz w:val="24"/>
          <w:szCs w:val="24"/>
          <w:lang w:val="es-MX"/>
        </w:rPr>
      </w:pPr>
    </w:p>
    <w:p w:rsidR="00790662" w:rsidRPr="008067E6" w:rsidRDefault="00790662" w:rsidP="00790662">
      <w:pPr>
        <w:jc w:val="both"/>
        <w:rPr>
          <w:rFonts w:ascii="Candara" w:hAnsi="Candara"/>
          <w:sz w:val="24"/>
          <w:szCs w:val="24"/>
          <w:lang w:val="es-MX"/>
        </w:rPr>
      </w:pPr>
      <w:r w:rsidRPr="008067E6">
        <w:rPr>
          <w:rFonts w:ascii="Candara" w:hAnsi="Candara"/>
          <w:sz w:val="24"/>
          <w:szCs w:val="24"/>
          <w:lang w:val="es-MX"/>
        </w:rPr>
        <w:t xml:space="preserve">De acuerdo con datos preliminares de la </w:t>
      </w:r>
      <w:r w:rsidRPr="008067E6">
        <w:rPr>
          <w:rFonts w:ascii="Candara" w:hAnsi="Candara"/>
          <w:b/>
          <w:sz w:val="24"/>
          <w:szCs w:val="24"/>
          <w:lang w:val="es-MX"/>
        </w:rPr>
        <w:t>Dirección General de Impuestos Internos (DGII),</w:t>
      </w:r>
      <w:r w:rsidRPr="008067E6">
        <w:rPr>
          <w:rFonts w:ascii="Candara" w:hAnsi="Candara"/>
          <w:sz w:val="24"/>
          <w:szCs w:val="24"/>
          <w:lang w:val="es-MX"/>
        </w:rPr>
        <w:t xml:space="preserve"> la recaudación tributaria</w:t>
      </w:r>
      <w:r w:rsidRPr="008067E6">
        <w:rPr>
          <w:rFonts w:ascii="Candara" w:hAnsi="Candara"/>
          <w:b/>
          <w:sz w:val="24"/>
          <w:szCs w:val="24"/>
          <w:lang w:val="es-MX"/>
        </w:rPr>
        <w:t xml:space="preserve"> por Cartera de Contribuyentes</w:t>
      </w:r>
      <w:r w:rsidRPr="008067E6">
        <w:rPr>
          <w:rFonts w:ascii="Candara" w:hAnsi="Candara"/>
          <w:sz w:val="24"/>
          <w:szCs w:val="24"/>
          <w:lang w:val="es-MX"/>
        </w:rPr>
        <w:t xml:space="preserve"> muestra que los Grandes Contribuyentes aportaron durante el período enero-</w:t>
      </w:r>
      <w:r w:rsidR="006854AC" w:rsidRPr="008067E6">
        <w:rPr>
          <w:rFonts w:ascii="Candara" w:hAnsi="Candara"/>
          <w:sz w:val="24"/>
          <w:szCs w:val="24"/>
          <w:lang w:val="es-MX"/>
        </w:rPr>
        <w:t>diciembre</w:t>
      </w:r>
      <w:r w:rsidRPr="008067E6">
        <w:rPr>
          <w:rFonts w:ascii="Candara" w:hAnsi="Candara"/>
          <w:sz w:val="24"/>
          <w:szCs w:val="24"/>
          <w:lang w:val="es-MX"/>
        </w:rPr>
        <w:t xml:space="preserve"> 2020 un total de US$</w:t>
      </w:r>
      <w:r w:rsidR="00F41C10" w:rsidRPr="008067E6">
        <w:rPr>
          <w:rFonts w:ascii="Candara" w:hAnsi="Candara"/>
          <w:sz w:val="24"/>
          <w:szCs w:val="24"/>
          <w:lang w:val="es-MX"/>
        </w:rPr>
        <w:t>3,027.6</w:t>
      </w:r>
      <w:r w:rsidRPr="008067E6">
        <w:rPr>
          <w:rFonts w:ascii="Candara" w:hAnsi="Candara"/>
          <w:sz w:val="24"/>
          <w:szCs w:val="24"/>
          <w:lang w:val="es-MX"/>
        </w:rPr>
        <w:t xml:space="preserve"> millones (el 6</w:t>
      </w:r>
      <w:r w:rsidR="00F41C10" w:rsidRPr="008067E6">
        <w:rPr>
          <w:rFonts w:ascii="Candara" w:hAnsi="Candara"/>
          <w:sz w:val="24"/>
          <w:szCs w:val="24"/>
          <w:lang w:val="es-MX"/>
        </w:rPr>
        <w:t>5.6</w:t>
      </w:r>
      <w:r w:rsidRPr="008067E6">
        <w:rPr>
          <w:rFonts w:ascii="Candara" w:hAnsi="Candara"/>
          <w:sz w:val="24"/>
          <w:szCs w:val="24"/>
          <w:lang w:val="es-MX"/>
        </w:rPr>
        <w:t>% de los ingresos tributarios)</w:t>
      </w:r>
      <w:r w:rsidR="00F41C10" w:rsidRPr="008067E6">
        <w:rPr>
          <w:rFonts w:ascii="Candara" w:hAnsi="Candara"/>
          <w:sz w:val="24"/>
          <w:szCs w:val="24"/>
          <w:lang w:val="es-MX"/>
        </w:rPr>
        <w:t>, c</w:t>
      </w:r>
      <w:r w:rsidR="008067E6" w:rsidRPr="008067E6">
        <w:rPr>
          <w:rFonts w:ascii="Candara" w:hAnsi="Candara"/>
          <w:sz w:val="24"/>
          <w:szCs w:val="24"/>
          <w:lang w:val="es-MX"/>
        </w:rPr>
        <w:t>o</w:t>
      </w:r>
      <w:r w:rsidR="00F41C10" w:rsidRPr="008067E6">
        <w:rPr>
          <w:rFonts w:ascii="Candara" w:hAnsi="Candara"/>
          <w:sz w:val="24"/>
          <w:szCs w:val="24"/>
          <w:lang w:val="es-MX"/>
        </w:rPr>
        <w:t>n una caída de 7.1</w:t>
      </w:r>
      <w:r w:rsidR="008067E6" w:rsidRPr="008067E6">
        <w:rPr>
          <w:rFonts w:ascii="Candara" w:hAnsi="Candara"/>
          <w:sz w:val="24"/>
          <w:szCs w:val="24"/>
          <w:lang w:val="es-MX"/>
        </w:rPr>
        <w:t>% respecto al año anterior</w:t>
      </w:r>
      <w:r w:rsidRPr="008067E6">
        <w:rPr>
          <w:rFonts w:ascii="Candara" w:hAnsi="Candara"/>
          <w:sz w:val="24"/>
          <w:szCs w:val="24"/>
          <w:lang w:val="es-MX"/>
        </w:rPr>
        <w:t>; los Pequeños Contribuyentes aportaron al fisco un monto de US$</w:t>
      </w:r>
      <w:r w:rsidR="00F41C10" w:rsidRPr="008067E6">
        <w:rPr>
          <w:rFonts w:ascii="Candara" w:hAnsi="Candara"/>
          <w:sz w:val="24"/>
          <w:szCs w:val="24"/>
          <w:lang w:val="es-MX"/>
        </w:rPr>
        <w:t>684.5</w:t>
      </w:r>
      <w:r w:rsidRPr="008067E6">
        <w:rPr>
          <w:rFonts w:ascii="Candara" w:hAnsi="Candara"/>
          <w:sz w:val="24"/>
          <w:szCs w:val="24"/>
          <w:lang w:val="es-MX"/>
        </w:rPr>
        <w:t xml:space="preserve"> millones</w:t>
      </w:r>
      <w:r w:rsidR="00F41C10" w:rsidRPr="008067E6">
        <w:rPr>
          <w:rFonts w:ascii="Candara" w:hAnsi="Candara"/>
          <w:sz w:val="24"/>
          <w:szCs w:val="24"/>
          <w:lang w:val="es-MX"/>
        </w:rPr>
        <w:t>, equivalente a</w:t>
      </w:r>
      <w:r w:rsidR="00530B1E">
        <w:rPr>
          <w:rFonts w:ascii="Candara" w:hAnsi="Candara"/>
          <w:sz w:val="24"/>
          <w:szCs w:val="24"/>
          <w:lang w:val="es-MX"/>
        </w:rPr>
        <w:t>l</w:t>
      </w:r>
      <w:r w:rsidR="008067E6" w:rsidRPr="008067E6">
        <w:rPr>
          <w:rFonts w:ascii="Candara" w:hAnsi="Candara"/>
          <w:sz w:val="24"/>
          <w:szCs w:val="24"/>
          <w:lang w:val="es-MX"/>
        </w:rPr>
        <w:t xml:space="preserve"> </w:t>
      </w:r>
      <w:r w:rsidR="00F41C10" w:rsidRPr="008067E6">
        <w:rPr>
          <w:rFonts w:ascii="Candara" w:hAnsi="Candara"/>
          <w:sz w:val="24"/>
          <w:szCs w:val="24"/>
          <w:lang w:val="es-MX"/>
        </w:rPr>
        <w:t>14.8%</w:t>
      </w:r>
      <w:r w:rsidR="008067E6" w:rsidRPr="008067E6">
        <w:rPr>
          <w:rFonts w:ascii="Candara" w:hAnsi="Candara"/>
          <w:sz w:val="24"/>
          <w:szCs w:val="24"/>
          <w:lang w:val="es-MX"/>
        </w:rPr>
        <w:t>, disminuyendo 3.1%</w:t>
      </w:r>
      <w:r w:rsidRPr="008067E6">
        <w:rPr>
          <w:rFonts w:ascii="Candara" w:hAnsi="Candara"/>
          <w:sz w:val="24"/>
          <w:szCs w:val="24"/>
          <w:lang w:val="es-MX"/>
        </w:rPr>
        <w:t>; mientras que los Medianos Contribuyentes reportaron US$</w:t>
      </w:r>
      <w:r w:rsidR="00F41C10" w:rsidRPr="008067E6">
        <w:rPr>
          <w:rFonts w:ascii="Candara" w:hAnsi="Candara"/>
          <w:sz w:val="24"/>
          <w:szCs w:val="24"/>
          <w:lang w:val="es-MX"/>
        </w:rPr>
        <w:t>904.0</w:t>
      </w:r>
      <w:r w:rsidRPr="008067E6">
        <w:rPr>
          <w:rFonts w:ascii="Candara" w:hAnsi="Candara"/>
          <w:sz w:val="24"/>
          <w:szCs w:val="24"/>
          <w:lang w:val="es-MX"/>
        </w:rPr>
        <w:t xml:space="preserve"> millones</w:t>
      </w:r>
      <w:r w:rsidR="00F41C10" w:rsidRPr="008067E6">
        <w:rPr>
          <w:rFonts w:ascii="Candara" w:hAnsi="Candara"/>
          <w:sz w:val="24"/>
          <w:szCs w:val="24"/>
          <w:lang w:val="es-MX"/>
        </w:rPr>
        <w:t xml:space="preserve">, equivalentes a </w:t>
      </w:r>
      <w:r w:rsidR="008067E6" w:rsidRPr="008067E6">
        <w:rPr>
          <w:rFonts w:ascii="Candara" w:hAnsi="Candara"/>
          <w:sz w:val="24"/>
          <w:szCs w:val="24"/>
          <w:lang w:val="es-MX"/>
        </w:rPr>
        <w:t>una participación de</w:t>
      </w:r>
      <w:r w:rsidR="00530B1E">
        <w:rPr>
          <w:rFonts w:ascii="Candara" w:hAnsi="Candara"/>
          <w:sz w:val="24"/>
          <w:szCs w:val="24"/>
          <w:lang w:val="es-MX"/>
        </w:rPr>
        <w:t>l</w:t>
      </w:r>
      <w:r w:rsidR="008067E6" w:rsidRPr="008067E6">
        <w:rPr>
          <w:rFonts w:ascii="Candara" w:hAnsi="Candara"/>
          <w:sz w:val="24"/>
          <w:szCs w:val="24"/>
          <w:lang w:val="es-MX"/>
        </w:rPr>
        <w:t xml:space="preserve"> </w:t>
      </w:r>
      <w:r w:rsidR="00F41C10" w:rsidRPr="008067E6">
        <w:rPr>
          <w:rFonts w:ascii="Candara" w:hAnsi="Candara"/>
          <w:sz w:val="24"/>
          <w:szCs w:val="24"/>
          <w:lang w:val="es-MX"/>
        </w:rPr>
        <w:t>19.6%</w:t>
      </w:r>
      <w:r w:rsidR="008067E6" w:rsidRPr="008067E6">
        <w:rPr>
          <w:rFonts w:ascii="Candara" w:hAnsi="Candara"/>
          <w:sz w:val="24"/>
          <w:szCs w:val="24"/>
          <w:lang w:val="es-MX"/>
        </w:rPr>
        <w:t xml:space="preserve">, registrando una variación anual de </w:t>
      </w:r>
      <w:r w:rsidR="00530B1E">
        <w:rPr>
          <w:rFonts w:ascii="Candara" w:hAnsi="Candara"/>
          <w:sz w:val="24"/>
          <w:szCs w:val="24"/>
          <w:lang w:val="es-MX"/>
        </w:rPr>
        <w:t>-</w:t>
      </w:r>
      <w:r w:rsidR="008067E6" w:rsidRPr="008067E6">
        <w:rPr>
          <w:rFonts w:ascii="Candara" w:hAnsi="Candara"/>
          <w:sz w:val="24"/>
          <w:szCs w:val="24"/>
          <w:lang w:val="es-MX"/>
        </w:rPr>
        <w:t>4.5%</w:t>
      </w:r>
      <w:r w:rsidRPr="008067E6">
        <w:rPr>
          <w:rFonts w:ascii="Candara" w:hAnsi="Candara"/>
          <w:sz w:val="24"/>
          <w:szCs w:val="24"/>
          <w:lang w:val="es-MX"/>
        </w:rPr>
        <w:t xml:space="preserve">. </w:t>
      </w:r>
    </w:p>
    <w:p w:rsidR="00790662" w:rsidRDefault="00790662" w:rsidP="00790662">
      <w:pPr>
        <w:jc w:val="both"/>
        <w:rPr>
          <w:rFonts w:ascii="Candara" w:hAnsi="Candara"/>
          <w:sz w:val="24"/>
          <w:szCs w:val="24"/>
          <w:highlight w:val="yellow"/>
          <w:lang w:val="es-MX"/>
        </w:rPr>
      </w:pPr>
    </w:p>
    <w:p w:rsidR="0028723E" w:rsidRPr="006D51C7" w:rsidRDefault="0028723E" w:rsidP="006D51C7">
      <w:pPr>
        <w:pStyle w:val="Heading3"/>
        <w:rPr>
          <w:lang w:val="es-MX"/>
        </w:rPr>
      </w:pPr>
      <w:bookmarkStart w:id="23" w:name="_Toc64531467"/>
      <w:r w:rsidRPr="006D51C7">
        <w:rPr>
          <w:lang w:val="es-MX"/>
        </w:rPr>
        <w:t xml:space="preserve">1.1.2 </w:t>
      </w:r>
      <w:r w:rsidR="000938EC" w:rsidRPr="006D51C7">
        <w:rPr>
          <w:lang w:val="es-MX"/>
        </w:rPr>
        <w:t>Recaudación según Departamentos</w:t>
      </w:r>
      <w:bookmarkEnd w:id="23"/>
    </w:p>
    <w:p w:rsidR="000938EC" w:rsidRPr="008067E6" w:rsidRDefault="000938EC" w:rsidP="00790662">
      <w:pPr>
        <w:jc w:val="both"/>
        <w:rPr>
          <w:rFonts w:ascii="Candara" w:hAnsi="Candara"/>
          <w:sz w:val="24"/>
          <w:szCs w:val="24"/>
          <w:lang w:val="es-MX"/>
        </w:rPr>
      </w:pPr>
    </w:p>
    <w:p w:rsidR="00790662" w:rsidRPr="008067E6" w:rsidRDefault="00790662" w:rsidP="00790662">
      <w:pPr>
        <w:jc w:val="both"/>
        <w:rPr>
          <w:rFonts w:ascii="Candara" w:hAnsi="Candara"/>
          <w:sz w:val="24"/>
          <w:szCs w:val="24"/>
          <w:lang w:val="es-MX"/>
        </w:rPr>
      </w:pPr>
      <w:r w:rsidRPr="008067E6">
        <w:rPr>
          <w:rFonts w:ascii="Candara" w:hAnsi="Candara"/>
          <w:sz w:val="24"/>
          <w:szCs w:val="24"/>
          <w:lang w:val="es-MX"/>
        </w:rPr>
        <w:t xml:space="preserve">La recaudación tributaria </w:t>
      </w:r>
      <w:r w:rsidRPr="008067E6">
        <w:rPr>
          <w:rFonts w:ascii="Candara" w:hAnsi="Candara"/>
          <w:b/>
          <w:sz w:val="24"/>
          <w:szCs w:val="24"/>
          <w:lang w:val="es-MX"/>
        </w:rPr>
        <w:t>por Área Geográfica</w:t>
      </w:r>
      <w:r w:rsidRPr="008067E6">
        <w:rPr>
          <w:rFonts w:ascii="Candara" w:hAnsi="Candara"/>
          <w:sz w:val="24"/>
          <w:szCs w:val="24"/>
          <w:lang w:val="es-MX"/>
        </w:rPr>
        <w:t xml:space="preserve"> </w:t>
      </w:r>
      <w:r w:rsidR="008067E6" w:rsidRPr="008067E6">
        <w:rPr>
          <w:rFonts w:ascii="Candara" w:hAnsi="Candara"/>
          <w:sz w:val="24"/>
          <w:szCs w:val="24"/>
          <w:lang w:val="es-MX"/>
        </w:rPr>
        <w:t xml:space="preserve">de los contribuyentes, </w:t>
      </w:r>
      <w:r w:rsidRPr="008067E6">
        <w:rPr>
          <w:rFonts w:ascii="Candara" w:hAnsi="Candara"/>
          <w:sz w:val="24"/>
          <w:szCs w:val="24"/>
          <w:lang w:val="es-MX"/>
        </w:rPr>
        <w:t>muestra que la zona central del país concentra la mayor recaudación</w:t>
      </w:r>
      <w:r w:rsidR="008067E6" w:rsidRPr="008067E6">
        <w:rPr>
          <w:rFonts w:ascii="Candara" w:hAnsi="Candara"/>
          <w:sz w:val="24"/>
          <w:szCs w:val="24"/>
          <w:lang w:val="es-MX"/>
        </w:rPr>
        <w:t xml:space="preserve"> con el 91.9%</w:t>
      </w:r>
      <w:r w:rsidRPr="008067E6">
        <w:rPr>
          <w:rFonts w:ascii="Candara" w:hAnsi="Candara"/>
          <w:sz w:val="24"/>
          <w:szCs w:val="24"/>
          <w:lang w:val="es-MX"/>
        </w:rPr>
        <w:t xml:space="preserve">. Se destaca los departamentos de </w:t>
      </w:r>
      <w:r w:rsidRPr="008067E6">
        <w:rPr>
          <w:rFonts w:ascii="Candara" w:hAnsi="Candara"/>
          <w:sz w:val="24"/>
          <w:szCs w:val="24"/>
          <w:lang w:val="es-MX"/>
        </w:rPr>
        <w:lastRenderedPageBreak/>
        <w:t xml:space="preserve">San Salvador y La Libertad, </w:t>
      </w:r>
      <w:r w:rsidR="00D149BC">
        <w:rPr>
          <w:rFonts w:ascii="Candara" w:hAnsi="Candara"/>
          <w:sz w:val="24"/>
          <w:szCs w:val="24"/>
          <w:lang w:val="es-MX"/>
        </w:rPr>
        <w:t xml:space="preserve">que </w:t>
      </w:r>
      <w:r w:rsidR="008067E6" w:rsidRPr="008067E6">
        <w:rPr>
          <w:rFonts w:ascii="Candara" w:hAnsi="Candara"/>
          <w:sz w:val="24"/>
          <w:szCs w:val="24"/>
          <w:lang w:val="es-MX"/>
        </w:rPr>
        <w:t>concentran el 58.5% y 31.5% de la recaudación, respectivamente.</w:t>
      </w:r>
    </w:p>
    <w:p w:rsidR="00790662" w:rsidRPr="008067E6" w:rsidRDefault="00790662" w:rsidP="00790662">
      <w:pPr>
        <w:jc w:val="both"/>
        <w:rPr>
          <w:rFonts w:ascii="Candara" w:hAnsi="Candara"/>
          <w:sz w:val="24"/>
          <w:szCs w:val="24"/>
          <w:lang w:val="es-MX"/>
        </w:rPr>
      </w:pPr>
    </w:p>
    <w:p w:rsidR="000938EC" w:rsidRPr="00F41C10" w:rsidRDefault="000938EC" w:rsidP="000938EC">
      <w:pPr>
        <w:pStyle w:val="Heading3"/>
        <w:rPr>
          <w:lang w:val="es-MX"/>
        </w:rPr>
      </w:pPr>
      <w:bookmarkStart w:id="24" w:name="_Toc64531468"/>
      <w:r w:rsidRPr="008067E6">
        <w:rPr>
          <w:lang w:val="es-MX"/>
        </w:rPr>
        <w:t>1.1.3 Según</w:t>
      </w:r>
      <w:r w:rsidRPr="00F41C10">
        <w:rPr>
          <w:lang w:val="es-MX"/>
        </w:rPr>
        <w:t xml:space="preserve"> sector Económico.</w:t>
      </w:r>
      <w:bookmarkEnd w:id="24"/>
    </w:p>
    <w:p w:rsidR="000938EC" w:rsidRPr="00F41C10" w:rsidRDefault="000938EC" w:rsidP="00790662">
      <w:pPr>
        <w:jc w:val="both"/>
        <w:rPr>
          <w:rFonts w:ascii="Candara" w:hAnsi="Candara"/>
          <w:sz w:val="24"/>
          <w:szCs w:val="24"/>
          <w:lang w:val="es-MX"/>
        </w:rPr>
      </w:pPr>
    </w:p>
    <w:p w:rsidR="00561B8C" w:rsidRPr="00F41C10" w:rsidRDefault="00790662" w:rsidP="00790662">
      <w:pPr>
        <w:jc w:val="both"/>
        <w:rPr>
          <w:rFonts w:ascii="Candara" w:hAnsi="Candara"/>
          <w:sz w:val="24"/>
          <w:szCs w:val="24"/>
          <w:lang w:val="es-MX"/>
        </w:rPr>
      </w:pPr>
      <w:r w:rsidRPr="00F41C10">
        <w:rPr>
          <w:rFonts w:ascii="Candara" w:hAnsi="Candara"/>
          <w:sz w:val="24"/>
          <w:szCs w:val="24"/>
          <w:lang w:val="es-MX"/>
        </w:rPr>
        <w:t xml:space="preserve">En cuanto a la recaudación </w:t>
      </w:r>
      <w:r w:rsidRPr="00F41C10">
        <w:rPr>
          <w:rFonts w:ascii="Candara" w:hAnsi="Candara"/>
          <w:b/>
          <w:sz w:val="24"/>
          <w:szCs w:val="24"/>
          <w:lang w:val="es-MX"/>
        </w:rPr>
        <w:t>por sector económico</w:t>
      </w:r>
      <w:r w:rsidRPr="00F41C10">
        <w:rPr>
          <w:rFonts w:ascii="Candara" w:hAnsi="Candara"/>
          <w:sz w:val="24"/>
          <w:szCs w:val="24"/>
          <w:lang w:val="es-MX"/>
        </w:rPr>
        <w:t xml:space="preserve">, </w:t>
      </w:r>
      <w:r w:rsidR="00561B8C" w:rsidRPr="00F41C10">
        <w:rPr>
          <w:rFonts w:ascii="Candara" w:hAnsi="Candara"/>
          <w:sz w:val="24"/>
          <w:szCs w:val="24"/>
          <w:lang w:val="es-MX"/>
        </w:rPr>
        <w:t>al analizar los resultados</w:t>
      </w:r>
      <w:r w:rsidR="00D149BC">
        <w:rPr>
          <w:rFonts w:ascii="Candara" w:hAnsi="Candara"/>
          <w:sz w:val="24"/>
          <w:szCs w:val="24"/>
          <w:lang w:val="es-MX"/>
        </w:rPr>
        <w:t>,</w:t>
      </w:r>
      <w:r w:rsidR="00561B8C" w:rsidRPr="00F41C10">
        <w:rPr>
          <w:rFonts w:ascii="Candara" w:hAnsi="Candara"/>
          <w:sz w:val="24"/>
          <w:szCs w:val="24"/>
          <w:lang w:val="es-MX"/>
        </w:rPr>
        <w:t xml:space="preserve"> los sectores con mayor peso en la recaudación </w:t>
      </w:r>
      <w:r w:rsidR="003E28F3" w:rsidRPr="00F41C10">
        <w:rPr>
          <w:rFonts w:ascii="Candara" w:hAnsi="Candara"/>
          <w:sz w:val="24"/>
          <w:szCs w:val="24"/>
          <w:lang w:val="es-MX"/>
        </w:rPr>
        <w:t>son los</w:t>
      </w:r>
      <w:r w:rsidR="00561B8C" w:rsidRPr="00F41C10">
        <w:rPr>
          <w:rFonts w:ascii="Candara" w:hAnsi="Candara"/>
          <w:sz w:val="24"/>
          <w:szCs w:val="24"/>
          <w:lang w:val="es-MX"/>
        </w:rPr>
        <w:t xml:space="preserve"> siguientes: </w:t>
      </w:r>
      <w:r w:rsidR="00C75E6A">
        <w:rPr>
          <w:rFonts w:ascii="Candara" w:hAnsi="Candara"/>
          <w:sz w:val="24"/>
          <w:szCs w:val="24"/>
          <w:lang w:val="es-MX"/>
        </w:rPr>
        <w:t xml:space="preserve">Comercio </w:t>
      </w:r>
      <w:r w:rsidR="00561B8C" w:rsidRPr="00F41C10">
        <w:rPr>
          <w:rFonts w:ascii="Candara" w:hAnsi="Candara"/>
          <w:sz w:val="24"/>
          <w:szCs w:val="24"/>
          <w:lang w:val="es-MX"/>
        </w:rPr>
        <w:t>al por mayor y al por menor</w:t>
      </w:r>
      <w:r w:rsidR="00D149BC">
        <w:rPr>
          <w:rFonts w:ascii="Candara" w:hAnsi="Candara"/>
          <w:sz w:val="24"/>
          <w:szCs w:val="24"/>
          <w:lang w:val="es-MX"/>
        </w:rPr>
        <w:t>;</w:t>
      </w:r>
      <w:r w:rsidR="00561B8C" w:rsidRPr="00F41C10">
        <w:rPr>
          <w:rFonts w:ascii="Candara" w:hAnsi="Candara"/>
          <w:sz w:val="24"/>
          <w:szCs w:val="24"/>
          <w:lang w:val="es-MX"/>
        </w:rPr>
        <w:t xml:space="preserve"> </w:t>
      </w:r>
      <w:r w:rsidR="00C75E6A">
        <w:rPr>
          <w:rFonts w:ascii="Candara" w:hAnsi="Candara"/>
          <w:sz w:val="24"/>
          <w:szCs w:val="24"/>
          <w:lang w:val="es-MX"/>
        </w:rPr>
        <w:t>I</w:t>
      </w:r>
      <w:r w:rsidR="00561B8C" w:rsidRPr="00F41C10">
        <w:rPr>
          <w:rFonts w:ascii="Candara" w:hAnsi="Candara"/>
          <w:sz w:val="24"/>
          <w:szCs w:val="24"/>
          <w:lang w:val="es-MX"/>
        </w:rPr>
        <w:t>ndustria Manufacturera y Actividades Financieras y de Seguros, estos han aportado el 65.7% del total recaudado.</w:t>
      </w:r>
    </w:p>
    <w:p w:rsidR="00561B8C" w:rsidRPr="00F41C10" w:rsidRDefault="00561B8C" w:rsidP="00790662">
      <w:pPr>
        <w:jc w:val="both"/>
        <w:rPr>
          <w:rFonts w:ascii="Candara" w:hAnsi="Candara"/>
          <w:sz w:val="24"/>
          <w:szCs w:val="24"/>
          <w:lang w:val="es-MX"/>
        </w:rPr>
      </w:pPr>
    </w:p>
    <w:p w:rsidR="00790662" w:rsidRPr="002053D6" w:rsidRDefault="00D149BC" w:rsidP="00790662">
      <w:pPr>
        <w:jc w:val="both"/>
        <w:rPr>
          <w:rFonts w:ascii="Candara" w:hAnsi="Candara"/>
          <w:sz w:val="24"/>
          <w:szCs w:val="24"/>
          <w:lang w:val="es-MX"/>
        </w:rPr>
      </w:pPr>
      <w:r>
        <w:rPr>
          <w:rFonts w:ascii="Candara" w:hAnsi="Candara"/>
          <w:sz w:val="24"/>
          <w:szCs w:val="24"/>
          <w:lang w:val="es-MX"/>
        </w:rPr>
        <w:t>S</w:t>
      </w:r>
      <w:r w:rsidR="00790662" w:rsidRPr="00F41C10">
        <w:rPr>
          <w:rFonts w:ascii="Candara" w:hAnsi="Candara"/>
          <w:sz w:val="24"/>
          <w:szCs w:val="24"/>
          <w:lang w:val="es-MX"/>
        </w:rPr>
        <w:t>egún el informe de la DGII, el comercio al por mayor y al por menor mostraron un mayor monto de recaudación, totalizando US$1,</w:t>
      </w:r>
      <w:r w:rsidR="00561B8C" w:rsidRPr="00F41C10">
        <w:rPr>
          <w:rFonts w:ascii="Candara" w:hAnsi="Candara"/>
          <w:sz w:val="24"/>
          <w:szCs w:val="24"/>
          <w:lang w:val="es-MX"/>
        </w:rPr>
        <w:t>724.2</w:t>
      </w:r>
      <w:r w:rsidR="00790662" w:rsidRPr="00F41C10">
        <w:rPr>
          <w:rFonts w:ascii="Candara" w:hAnsi="Candara"/>
          <w:sz w:val="24"/>
          <w:szCs w:val="24"/>
          <w:lang w:val="es-MX"/>
        </w:rPr>
        <w:t xml:space="preserve"> millones (36.1% del total recaudado)</w:t>
      </w:r>
      <w:r w:rsidR="00561B8C" w:rsidRPr="00F41C10">
        <w:rPr>
          <w:rFonts w:ascii="Candara" w:hAnsi="Candara"/>
          <w:sz w:val="24"/>
          <w:szCs w:val="24"/>
          <w:lang w:val="es-MX"/>
        </w:rPr>
        <w:t>, con una disminución de $131.9 millones;</w:t>
      </w:r>
      <w:r w:rsidR="00790662" w:rsidRPr="00F41C10">
        <w:rPr>
          <w:rFonts w:ascii="Candara" w:hAnsi="Candara"/>
          <w:sz w:val="24"/>
          <w:szCs w:val="24"/>
          <w:lang w:val="es-MX"/>
        </w:rPr>
        <w:t xml:space="preserve"> mientras que la Industria Manufacturera es el segundo sector en importancia por su aporte en la recaudación la cual alcanzó US$</w:t>
      </w:r>
      <w:r w:rsidR="00561B8C" w:rsidRPr="00F41C10">
        <w:rPr>
          <w:rFonts w:ascii="Candara" w:hAnsi="Candara"/>
          <w:sz w:val="24"/>
          <w:szCs w:val="24"/>
          <w:lang w:val="es-MX"/>
        </w:rPr>
        <w:t>833.6</w:t>
      </w:r>
      <w:r w:rsidR="00790662" w:rsidRPr="00F41C10">
        <w:rPr>
          <w:rFonts w:ascii="Candara" w:hAnsi="Candara"/>
          <w:sz w:val="24"/>
          <w:szCs w:val="24"/>
          <w:lang w:val="es-MX"/>
        </w:rPr>
        <w:t xml:space="preserve"> millones, equivalente al 18.1%</w:t>
      </w:r>
      <w:r w:rsidR="00561B8C" w:rsidRPr="00F41C10">
        <w:rPr>
          <w:rFonts w:ascii="Candara" w:hAnsi="Candara"/>
          <w:sz w:val="24"/>
          <w:szCs w:val="24"/>
          <w:lang w:val="es-MX"/>
        </w:rPr>
        <w:t>,</w:t>
      </w:r>
      <w:r>
        <w:rPr>
          <w:rFonts w:ascii="Candara" w:hAnsi="Candara"/>
          <w:sz w:val="24"/>
          <w:szCs w:val="24"/>
          <w:lang w:val="es-MX"/>
        </w:rPr>
        <w:t xml:space="preserve"> </w:t>
      </w:r>
      <w:r w:rsidR="00561B8C" w:rsidRPr="00F41C10">
        <w:rPr>
          <w:rFonts w:ascii="Candara" w:hAnsi="Candara"/>
          <w:sz w:val="24"/>
          <w:szCs w:val="24"/>
          <w:lang w:val="es-MX"/>
        </w:rPr>
        <w:t>con $45.8 millones menos</w:t>
      </w:r>
      <w:r w:rsidR="00790662" w:rsidRPr="00F41C10">
        <w:rPr>
          <w:rFonts w:ascii="Candara" w:hAnsi="Candara"/>
          <w:sz w:val="24"/>
          <w:szCs w:val="24"/>
          <w:lang w:val="es-MX"/>
        </w:rPr>
        <w:t xml:space="preserve"> y el tercer sector con mayor recaudación fueron las </w:t>
      </w:r>
      <w:r w:rsidR="00C75E6A">
        <w:rPr>
          <w:rFonts w:ascii="Candara" w:hAnsi="Candara"/>
          <w:sz w:val="24"/>
          <w:szCs w:val="24"/>
          <w:lang w:val="es-MX"/>
        </w:rPr>
        <w:t>A</w:t>
      </w:r>
      <w:r w:rsidR="00790662" w:rsidRPr="00F41C10">
        <w:rPr>
          <w:rFonts w:ascii="Candara" w:hAnsi="Candara"/>
          <w:sz w:val="24"/>
          <w:szCs w:val="24"/>
          <w:lang w:val="es-MX"/>
        </w:rPr>
        <w:t xml:space="preserve">ctividades </w:t>
      </w:r>
      <w:r w:rsidR="00C75E6A">
        <w:rPr>
          <w:rFonts w:ascii="Candara" w:hAnsi="Candara"/>
          <w:sz w:val="24"/>
          <w:szCs w:val="24"/>
          <w:lang w:val="es-MX"/>
        </w:rPr>
        <w:t>F</w:t>
      </w:r>
      <w:r w:rsidR="00790662" w:rsidRPr="00F41C10">
        <w:rPr>
          <w:rFonts w:ascii="Candara" w:hAnsi="Candara"/>
          <w:sz w:val="24"/>
          <w:szCs w:val="24"/>
          <w:lang w:val="es-MX"/>
        </w:rPr>
        <w:t xml:space="preserve">inancieras y de </w:t>
      </w:r>
      <w:r w:rsidR="00C75E6A">
        <w:rPr>
          <w:rFonts w:ascii="Candara" w:hAnsi="Candara"/>
          <w:sz w:val="24"/>
          <w:szCs w:val="24"/>
          <w:lang w:val="es-MX"/>
        </w:rPr>
        <w:t>S</w:t>
      </w:r>
      <w:r w:rsidR="00790662" w:rsidRPr="00F41C10">
        <w:rPr>
          <w:rFonts w:ascii="Candara" w:hAnsi="Candara"/>
          <w:sz w:val="24"/>
          <w:szCs w:val="24"/>
          <w:lang w:val="es-MX"/>
        </w:rPr>
        <w:t>eguros, con US$</w:t>
      </w:r>
      <w:r w:rsidR="00F41C10" w:rsidRPr="00F41C10">
        <w:rPr>
          <w:rFonts w:ascii="Candara" w:hAnsi="Candara"/>
          <w:sz w:val="24"/>
          <w:szCs w:val="24"/>
          <w:lang w:val="es-MX"/>
        </w:rPr>
        <w:t>473.4</w:t>
      </w:r>
      <w:r w:rsidR="00790662" w:rsidRPr="00F41C10">
        <w:rPr>
          <w:rFonts w:ascii="Candara" w:hAnsi="Candara"/>
          <w:sz w:val="24"/>
          <w:szCs w:val="24"/>
          <w:lang w:val="es-MX"/>
        </w:rPr>
        <w:t xml:space="preserve"> millones con una participación del 1</w:t>
      </w:r>
      <w:r w:rsidR="00F41C10" w:rsidRPr="00F41C10">
        <w:rPr>
          <w:rFonts w:ascii="Candara" w:hAnsi="Candara"/>
          <w:sz w:val="24"/>
          <w:szCs w:val="24"/>
          <w:lang w:val="es-MX"/>
        </w:rPr>
        <w:t>0.3</w:t>
      </w:r>
      <w:r w:rsidR="00790662" w:rsidRPr="00F41C10">
        <w:rPr>
          <w:rFonts w:ascii="Candara" w:hAnsi="Candara"/>
          <w:sz w:val="24"/>
          <w:szCs w:val="24"/>
          <w:lang w:val="es-MX"/>
        </w:rPr>
        <w:t>%</w:t>
      </w:r>
      <w:r w:rsidR="00F41C10" w:rsidRPr="00F41C10">
        <w:rPr>
          <w:rFonts w:ascii="Candara" w:hAnsi="Candara"/>
          <w:sz w:val="24"/>
          <w:szCs w:val="24"/>
          <w:lang w:val="es-MX"/>
        </w:rPr>
        <w:t xml:space="preserve">, </w:t>
      </w:r>
      <w:r>
        <w:rPr>
          <w:rFonts w:ascii="Candara" w:hAnsi="Candara"/>
          <w:sz w:val="24"/>
          <w:szCs w:val="24"/>
          <w:lang w:val="es-MX"/>
        </w:rPr>
        <w:t>siendo</w:t>
      </w:r>
      <w:r w:rsidR="00F41C10" w:rsidRPr="00F41C10">
        <w:rPr>
          <w:rFonts w:ascii="Candara" w:hAnsi="Candara"/>
          <w:sz w:val="24"/>
          <w:szCs w:val="24"/>
          <w:lang w:val="es-MX"/>
        </w:rPr>
        <w:t xml:space="preserve"> menores con relación al año anterior en $32.6 millones</w:t>
      </w:r>
      <w:r w:rsidR="00790662" w:rsidRPr="00F41C10">
        <w:rPr>
          <w:rFonts w:ascii="Candara" w:hAnsi="Candara"/>
          <w:sz w:val="24"/>
          <w:szCs w:val="24"/>
          <w:lang w:val="es-MX"/>
        </w:rPr>
        <w:t>.</w:t>
      </w:r>
    </w:p>
    <w:p w:rsidR="00790662" w:rsidRPr="002053D6" w:rsidRDefault="00790662" w:rsidP="00790662">
      <w:pPr>
        <w:jc w:val="both"/>
        <w:rPr>
          <w:rFonts w:ascii="Candara" w:hAnsi="Candara"/>
          <w:sz w:val="24"/>
          <w:szCs w:val="24"/>
          <w:lang w:val="es-MX"/>
        </w:rPr>
      </w:pPr>
    </w:p>
    <w:p w:rsidR="00890344" w:rsidRPr="00534ED5" w:rsidRDefault="00890344" w:rsidP="00534ED5">
      <w:pPr>
        <w:pStyle w:val="Heading3"/>
        <w:rPr>
          <w:lang w:val="es-MX"/>
        </w:rPr>
      </w:pPr>
      <w:bookmarkStart w:id="25" w:name="_Toc64531469"/>
      <w:r w:rsidRPr="00534ED5">
        <w:rPr>
          <w:lang w:val="es-MX"/>
        </w:rPr>
        <w:t>1.1.</w:t>
      </w:r>
      <w:r w:rsidR="008D5836" w:rsidRPr="00534ED5">
        <w:rPr>
          <w:lang w:val="es-MX"/>
        </w:rPr>
        <w:t>4</w:t>
      </w:r>
      <w:r w:rsidRPr="00534ED5">
        <w:rPr>
          <w:lang w:val="es-MX"/>
        </w:rPr>
        <w:t xml:space="preserve"> Composición de Ingresos Tributarios 20</w:t>
      </w:r>
      <w:r w:rsidR="0028723E" w:rsidRPr="00534ED5">
        <w:rPr>
          <w:lang w:val="es-MX"/>
        </w:rPr>
        <w:t>20</w:t>
      </w:r>
      <w:bookmarkEnd w:id="25"/>
      <w:r w:rsidRPr="00534ED5">
        <w:rPr>
          <w:lang w:val="es-MX"/>
        </w:rPr>
        <w:t xml:space="preserve">  </w:t>
      </w:r>
    </w:p>
    <w:p w:rsidR="00890344" w:rsidRDefault="00890344" w:rsidP="00890344">
      <w:pPr>
        <w:spacing w:line="259" w:lineRule="auto"/>
        <w:ind w:left="1004"/>
      </w:pPr>
      <w:r>
        <w:t xml:space="preserve"> </w:t>
      </w:r>
    </w:p>
    <w:p w:rsidR="00890344" w:rsidRDefault="00890344" w:rsidP="0028723E">
      <w:pPr>
        <w:ind w:right="299"/>
        <w:jc w:val="both"/>
        <w:rPr>
          <w:rFonts w:ascii="Candara" w:hAnsi="Candara" w:cs="Arial"/>
          <w:sz w:val="24"/>
          <w:szCs w:val="24"/>
        </w:rPr>
      </w:pPr>
      <w:r w:rsidRPr="0028723E">
        <w:rPr>
          <w:rFonts w:ascii="Candara" w:hAnsi="Candara" w:cs="Arial"/>
          <w:sz w:val="24"/>
          <w:szCs w:val="24"/>
        </w:rPr>
        <w:t xml:space="preserve">En el gráfico </w:t>
      </w:r>
      <w:r w:rsidR="0028723E" w:rsidRPr="0028723E">
        <w:rPr>
          <w:rFonts w:ascii="Candara" w:hAnsi="Candara" w:cs="Arial"/>
          <w:sz w:val="24"/>
          <w:szCs w:val="24"/>
        </w:rPr>
        <w:t xml:space="preserve">4 </w:t>
      </w:r>
      <w:r w:rsidRPr="0028723E">
        <w:rPr>
          <w:rFonts w:ascii="Candara" w:hAnsi="Candara" w:cs="Arial"/>
          <w:sz w:val="24"/>
          <w:szCs w:val="24"/>
        </w:rPr>
        <w:t>se muestra la composición de los ingresos tributarios al cierre de 20</w:t>
      </w:r>
      <w:r w:rsidR="0028723E">
        <w:rPr>
          <w:rFonts w:ascii="Candara" w:hAnsi="Candara" w:cs="Arial"/>
          <w:sz w:val="24"/>
          <w:szCs w:val="24"/>
        </w:rPr>
        <w:t>20</w:t>
      </w:r>
      <w:r w:rsidRPr="0028723E">
        <w:rPr>
          <w:rFonts w:ascii="Candara" w:hAnsi="Candara" w:cs="Arial"/>
          <w:sz w:val="24"/>
          <w:szCs w:val="24"/>
        </w:rPr>
        <w:t>, donde los dos principales impuestos son Renta y el IVA, participan con el 8</w:t>
      </w:r>
      <w:r w:rsidR="0028723E">
        <w:rPr>
          <w:rFonts w:ascii="Candara" w:hAnsi="Candara" w:cs="Arial"/>
          <w:sz w:val="24"/>
          <w:szCs w:val="24"/>
        </w:rPr>
        <w:t>6.0</w:t>
      </w:r>
      <w:r w:rsidRPr="0028723E">
        <w:rPr>
          <w:rFonts w:ascii="Candara" w:hAnsi="Candara" w:cs="Arial"/>
          <w:sz w:val="24"/>
          <w:szCs w:val="24"/>
        </w:rPr>
        <w:t>% del total de ingresos tributarios, el resto de la recaudación equivalente al 14.</w:t>
      </w:r>
      <w:r w:rsidR="0028723E">
        <w:rPr>
          <w:rFonts w:ascii="Candara" w:hAnsi="Candara" w:cs="Arial"/>
          <w:sz w:val="24"/>
          <w:szCs w:val="24"/>
        </w:rPr>
        <w:t>0</w:t>
      </w:r>
      <w:r w:rsidRPr="0028723E">
        <w:rPr>
          <w:rFonts w:ascii="Candara" w:hAnsi="Candara" w:cs="Arial"/>
          <w:sz w:val="24"/>
          <w:szCs w:val="24"/>
        </w:rPr>
        <w:t>%, está conformado así: Contribuciones Especiales (5.</w:t>
      </w:r>
      <w:r w:rsidR="0028723E">
        <w:rPr>
          <w:rFonts w:ascii="Candara" w:hAnsi="Candara" w:cs="Arial"/>
          <w:sz w:val="24"/>
          <w:szCs w:val="24"/>
        </w:rPr>
        <w:t>2</w:t>
      </w:r>
      <w:r w:rsidRPr="0028723E">
        <w:rPr>
          <w:rFonts w:ascii="Candara" w:hAnsi="Candara" w:cs="Arial"/>
          <w:sz w:val="24"/>
          <w:szCs w:val="24"/>
        </w:rPr>
        <w:t>%), Derechos Arancelarios (4.</w:t>
      </w:r>
      <w:r w:rsidR="0028723E">
        <w:rPr>
          <w:rFonts w:ascii="Candara" w:hAnsi="Candara" w:cs="Arial"/>
          <w:sz w:val="24"/>
          <w:szCs w:val="24"/>
        </w:rPr>
        <w:t>1</w:t>
      </w:r>
      <w:r w:rsidRPr="0028723E">
        <w:rPr>
          <w:rFonts w:ascii="Candara" w:hAnsi="Candara" w:cs="Arial"/>
          <w:sz w:val="24"/>
          <w:szCs w:val="24"/>
        </w:rPr>
        <w:t>%), Consumo de Productos (</w:t>
      </w:r>
      <w:r w:rsidR="0028723E">
        <w:rPr>
          <w:rFonts w:ascii="Candara" w:hAnsi="Candara" w:cs="Arial"/>
          <w:sz w:val="24"/>
          <w:szCs w:val="24"/>
        </w:rPr>
        <w:t>4.0</w:t>
      </w:r>
      <w:r w:rsidRPr="0028723E">
        <w:rPr>
          <w:rFonts w:ascii="Candara" w:hAnsi="Candara" w:cs="Arial"/>
          <w:sz w:val="24"/>
          <w:szCs w:val="24"/>
        </w:rPr>
        <w:t>%) y otros Impuestos y Gravámenes Diversos</w:t>
      </w:r>
      <w:r>
        <w:t xml:space="preserve"> </w:t>
      </w:r>
      <w:r w:rsidRPr="0028723E">
        <w:rPr>
          <w:rFonts w:ascii="Candara" w:hAnsi="Candara" w:cs="Arial"/>
          <w:sz w:val="24"/>
          <w:szCs w:val="24"/>
        </w:rPr>
        <w:t>con el (</w:t>
      </w:r>
      <w:r w:rsidR="0028723E">
        <w:rPr>
          <w:rFonts w:ascii="Candara" w:hAnsi="Candara" w:cs="Arial"/>
          <w:sz w:val="24"/>
          <w:szCs w:val="24"/>
        </w:rPr>
        <w:t>0.7</w:t>
      </w:r>
      <w:r w:rsidRPr="0028723E">
        <w:rPr>
          <w:rFonts w:ascii="Candara" w:hAnsi="Candara" w:cs="Arial"/>
          <w:sz w:val="24"/>
          <w:szCs w:val="24"/>
        </w:rPr>
        <w:t>%)</w:t>
      </w:r>
      <w:r w:rsidR="00871062">
        <w:rPr>
          <w:rFonts w:ascii="Candara" w:hAnsi="Candara" w:cs="Arial"/>
          <w:sz w:val="24"/>
          <w:szCs w:val="24"/>
        </w:rPr>
        <w:t>, tal como se refleja en el siguiente gráfico</w:t>
      </w:r>
      <w:r w:rsidRPr="0028723E">
        <w:rPr>
          <w:rFonts w:ascii="Candara" w:hAnsi="Candara" w:cs="Arial"/>
          <w:sz w:val="24"/>
          <w:szCs w:val="24"/>
        </w:rPr>
        <w:t xml:space="preserve">. </w:t>
      </w:r>
    </w:p>
    <w:p w:rsidR="0028723E" w:rsidRPr="0028723E" w:rsidRDefault="0028723E" w:rsidP="00890344">
      <w:pPr>
        <w:ind w:left="1000" w:right="299"/>
        <w:rPr>
          <w:rFonts w:ascii="Candara" w:hAnsi="Candara" w:cs="Arial"/>
          <w:sz w:val="24"/>
          <w:szCs w:val="24"/>
        </w:rPr>
      </w:pPr>
    </w:p>
    <w:p w:rsidR="0028723E" w:rsidRPr="0028723E" w:rsidRDefault="0028723E" w:rsidP="0028723E">
      <w:pPr>
        <w:ind w:left="1000" w:right="299"/>
        <w:jc w:val="center"/>
        <w:rPr>
          <w:rFonts w:ascii="Candara" w:hAnsi="Candara" w:cs="Arial"/>
          <w:sz w:val="24"/>
          <w:szCs w:val="24"/>
        </w:rPr>
      </w:pPr>
      <w:r w:rsidRPr="0028723E">
        <w:rPr>
          <w:rFonts w:ascii="Candara" w:hAnsi="Candara" w:cs="Arial"/>
          <w:sz w:val="24"/>
          <w:szCs w:val="24"/>
        </w:rPr>
        <w:t>Gráfico 4: Composición de los ingresos tributarios 2020.</w:t>
      </w:r>
    </w:p>
    <w:p w:rsidR="0028723E" w:rsidRPr="0028723E" w:rsidRDefault="0039592C" w:rsidP="0039592C">
      <w:pPr>
        <w:ind w:left="1000" w:right="299"/>
        <w:jc w:val="center"/>
        <w:rPr>
          <w:rFonts w:ascii="Candara" w:hAnsi="Candara" w:cs="Arial"/>
          <w:sz w:val="24"/>
          <w:szCs w:val="24"/>
        </w:rPr>
      </w:pPr>
      <w:r w:rsidRPr="0039592C">
        <w:rPr>
          <w:noProof/>
        </w:rPr>
        <w:drawing>
          <wp:inline distT="0" distB="0" distL="0" distR="0" wp14:anchorId="2A5A674D" wp14:editId="38106B60">
            <wp:extent cx="4077902" cy="280724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303" cy="2813026"/>
                    </a:xfrm>
                    <a:prstGeom prst="rect">
                      <a:avLst/>
                    </a:prstGeom>
                    <a:noFill/>
                    <a:ln>
                      <a:noFill/>
                    </a:ln>
                  </pic:spPr>
                </pic:pic>
              </a:graphicData>
            </a:graphic>
          </wp:inline>
        </w:drawing>
      </w:r>
    </w:p>
    <w:p w:rsidR="0028723E" w:rsidRDefault="0028723E" w:rsidP="00534ED5">
      <w:pPr>
        <w:ind w:left="1000" w:right="299"/>
        <w:jc w:val="center"/>
      </w:pPr>
    </w:p>
    <w:p w:rsidR="00790662" w:rsidRDefault="00790662" w:rsidP="004A685A">
      <w:pPr>
        <w:jc w:val="both"/>
        <w:rPr>
          <w:rFonts w:ascii="Candara" w:hAnsi="Candara"/>
          <w:sz w:val="24"/>
          <w:szCs w:val="24"/>
        </w:rPr>
      </w:pPr>
    </w:p>
    <w:p w:rsidR="00790662" w:rsidRDefault="00790662" w:rsidP="00790662">
      <w:pPr>
        <w:jc w:val="both"/>
        <w:rPr>
          <w:rFonts w:ascii="Candara" w:hAnsi="Candara"/>
          <w:sz w:val="24"/>
          <w:szCs w:val="24"/>
          <w:lang w:val="es-MX"/>
        </w:rPr>
      </w:pPr>
      <w:r w:rsidRPr="007F50E2">
        <w:rPr>
          <w:rFonts w:ascii="Candara" w:hAnsi="Candara"/>
          <w:sz w:val="24"/>
          <w:szCs w:val="24"/>
          <w:lang w:val="es-MX"/>
        </w:rPr>
        <w:t xml:space="preserve">En la siguiente tabla se muestra el comportamiento de los ingresos tributarios, </w:t>
      </w:r>
      <w:r>
        <w:rPr>
          <w:rFonts w:ascii="Candara" w:hAnsi="Candara"/>
          <w:sz w:val="24"/>
          <w:szCs w:val="24"/>
          <w:lang w:val="es-MX"/>
        </w:rPr>
        <w:t xml:space="preserve">tanto </w:t>
      </w:r>
      <w:r w:rsidRPr="007F50E2">
        <w:rPr>
          <w:rFonts w:ascii="Candara" w:hAnsi="Candara"/>
          <w:sz w:val="24"/>
          <w:szCs w:val="24"/>
          <w:lang w:val="es-MX"/>
        </w:rPr>
        <w:t xml:space="preserve">en millones de </w:t>
      </w:r>
      <w:r>
        <w:rPr>
          <w:rFonts w:ascii="Candara" w:hAnsi="Candara"/>
          <w:sz w:val="24"/>
          <w:szCs w:val="24"/>
          <w:lang w:val="es-MX"/>
        </w:rPr>
        <w:t>dólares</w:t>
      </w:r>
      <w:r w:rsidRPr="007F50E2">
        <w:rPr>
          <w:rFonts w:ascii="Candara" w:hAnsi="Candara"/>
          <w:sz w:val="24"/>
          <w:szCs w:val="24"/>
          <w:lang w:val="es-MX"/>
        </w:rPr>
        <w:t xml:space="preserve">, </w:t>
      </w:r>
      <w:r>
        <w:rPr>
          <w:rFonts w:ascii="Candara" w:hAnsi="Candara"/>
          <w:sz w:val="24"/>
          <w:szCs w:val="24"/>
          <w:lang w:val="es-MX"/>
        </w:rPr>
        <w:t>como en</w:t>
      </w:r>
      <w:r w:rsidRPr="007F50E2">
        <w:rPr>
          <w:rFonts w:ascii="Candara" w:hAnsi="Candara"/>
          <w:sz w:val="24"/>
          <w:szCs w:val="24"/>
          <w:lang w:val="es-MX"/>
        </w:rPr>
        <w:t xml:space="preserve"> porcentaje que representa respecto al total y </w:t>
      </w:r>
      <w:r>
        <w:rPr>
          <w:rFonts w:ascii="Candara" w:hAnsi="Candara"/>
          <w:sz w:val="24"/>
          <w:szCs w:val="24"/>
          <w:lang w:val="es-MX"/>
        </w:rPr>
        <w:t>su</w:t>
      </w:r>
      <w:r w:rsidRPr="007F50E2">
        <w:rPr>
          <w:rFonts w:ascii="Candara" w:hAnsi="Candara"/>
          <w:sz w:val="24"/>
          <w:szCs w:val="24"/>
          <w:lang w:val="es-MX"/>
        </w:rPr>
        <w:t xml:space="preserve"> composición por rubro </w:t>
      </w:r>
      <w:r>
        <w:rPr>
          <w:rFonts w:ascii="Candara" w:hAnsi="Candara"/>
          <w:sz w:val="24"/>
          <w:szCs w:val="24"/>
          <w:lang w:val="es-MX"/>
        </w:rPr>
        <w:t>para formar</w:t>
      </w:r>
      <w:r w:rsidRPr="007F50E2">
        <w:rPr>
          <w:rFonts w:ascii="Candara" w:hAnsi="Candara"/>
          <w:sz w:val="24"/>
          <w:szCs w:val="24"/>
          <w:lang w:val="es-MX"/>
        </w:rPr>
        <w:t xml:space="preserve"> la carga tributaria.</w:t>
      </w:r>
    </w:p>
    <w:p w:rsidR="00E51F7F" w:rsidRDefault="00E51F7F" w:rsidP="00C337C8">
      <w:pPr>
        <w:jc w:val="center"/>
        <w:rPr>
          <w:rFonts w:ascii="Candara" w:hAnsi="Candara"/>
          <w:sz w:val="24"/>
          <w:szCs w:val="24"/>
          <w:lang w:val="es-MX"/>
        </w:rPr>
      </w:pPr>
    </w:p>
    <w:p w:rsidR="00BE54F5" w:rsidRPr="007F50E2" w:rsidRDefault="00BE54F5" w:rsidP="00C337C8">
      <w:pPr>
        <w:jc w:val="center"/>
        <w:rPr>
          <w:rFonts w:ascii="Candara" w:hAnsi="Candara"/>
          <w:sz w:val="24"/>
          <w:szCs w:val="24"/>
          <w:lang w:val="es-MX"/>
        </w:rPr>
      </w:pPr>
      <w:r w:rsidRPr="007F50E2">
        <w:rPr>
          <w:rFonts w:ascii="Candara" w:hAnsi="Candara"/>
          <w:sz w:val="24"/>
          <w:szCs w:val="24"/>
          <w:lang w:val="es-MX"/>
        </w:rPr>
        <w:t xml:space="preserve">Tabla No. </w:t>
      </w:r>
      <w:r w:rsidR="009A14E6">
        <w:rPr>
          <w:rFonts w:ascii="Candara" w:hAnsi="Candara"/>
          <w:sz w:val="24"/>
          <w:szCs w:val="24"/>
          <w:lang w:val="es-MX"/>
        </w:rPr>
        <w:t>1</w:t>
      </w:r>
      <w:r w:rsidRPr="007F50E2">
        <w:rPr>
          <w:rFonts w:ascii="Candara" w:hAnsi="Candara"/>
          <w:sz w:val="24"/>
          <w:szCs w:val="24"/>
          <w:lang w:val="es-MX"/>
        </w:rPr>
        <w:t xml:space="preserve"> Estructura de Ingresos Tributarios </w:t>
      </w:r>
      <w:r w:rsidR="00532FE5" w:rsidRPr="007F50E2">
        <w:rPr>
          <w:rFonts w:ascii="Candara" w:hAnsi="Candara"/>
          <w:sz w:val="24"/>
          <w:szCs w:val="24"/>
          <w:lang w:val="es-MX"/>
        </w:rPr>
        <w:t xml:space="preserve">a </w:t>
      </w:r>
      <w:r w:rsidR="006854AC">
        <w:rPr>
          <w:rFonts w:ascii="Candara" w:hAnsi="Candara"/>
          <w:sz w:val="24"/>
          <w:szCs w:val="24"/>
          <w:lang w:val="es-MX"/>
        </w:rPr>
        <w:t>diciembre</w:t>
      </w:r>
      <w:r w:rsidR="00532FE5" w:rsidRPr="007F50E2">
        <w:rPr>
          <w:rFonts w:ascii="Candara" w:hAnsi="Candara"/>
          <w:sz w:val="24"/>
          <w:szCs w:val="24"/>
          <w:lang w:val="es-MX"/>
        </w:rPr>
        <w:t xml:space="preserve"> </w:t>
      </w:r>
      <w:r w:rsidRPr="007F50E2">
        <w:rPr>
          <w:rFonts w:ascii="Candara" w:hAnsi="Candara"/>
          <w:sz w:val="24"/>
          <w:szCs w:val="24"/>
          <w:lang w:val="es-MX"/>
        </w:rPr>
        <w:t>20</w:t>
      </w:r>
      <w:r w:rsidR="00A80A13">
        <w:rPr>
          <w:rFonts w:ascii="Candara" w:hAnsi="Candara"/>
          <w:sz w:val="24"/>
          <w:szCs w:val="24"/>
          <w:lang w:val="es-MX"/>
        </w:rPr>
        <w:t>1</w:t>
      </w:r>
      <w:r w:rsidR="00E218E0">
        <w:rPr>
          <w:rFonts w:ascii="Candara" w:hAnsi="Candara"/>
          <w:sz w:val="24"/>
          <w:szCs w:val="24"/>
          <w:lang w:val="es-MX"/>
        </w:rPr>
        <w:t>4</w:t>
      </w:r>
      <w:r w:rsidRPr="007F50E2">
        <w:rPr>
          <w:rFonts w:ascii="Candara" w:hAnsi="Candara"/>
          <w:sz w:val="24"/>
          <w:szCs w:val="24"/>
          <w:lang w:val="es-MX"/>
        </w:rPr>
        <w:t xml:space="preserve"> - 20</w:t>
      </w:r>
      <w:r w:rsidR="00E218E0">
        <w:rPr>
          <w:rFonts w:ascii="Candara" w:hAnsi="Candara"/>
          <w:sz w:val="24"/>
          <w:szCs w:val="24"/>
          <w:lang w:val="es-MX"/>
        </w:rPr>
        <w:t>20</w:t>
      </w:r>
    </w:p>
    <w:p w:rsidR="00BE54F5" w:rsidRDefault="00BE54F5" w:rsidP="00C337C8">
      <w:pPr>
        <w:jc w:val="center"/>
        <w:rPr>
          <w:rFonts w:ascii="Candara" w:hAnsi="Candara"/>
          <w:sz w:val="24"/>
          <w:szCs w:val="24"/>
          <w:lang w:val="es-MX"/>
        </w:rPr>
      </w:pPr>
      <w:r w:rsidRPr="007F50E2">
        <w:rPr>
          <w:rFonts w:ascii="Candara" w:hAnsi="Candara"/>
          <w:sz w:val="24"/>
          <w:szCs w:val="24"/>
          <w:lang w:val="es-MX"/>
        </w:rPr>
        <w:t>(Millones de $, como % del total de ingresos y % del PIB)</w:t>
      </w:r>
      <w:r w:rsidR="00871062">
        <w:rPr>
          <w:rFonts w:ascii="Candara" w:hAnsi="Candara"/>
          <w:sz w:val="24"/>
          <w:szCs w:val="24"/>
          <w:lang w:val="es-MX"/>
        </w:rPr>
        <w:t>.</w:t>
      </w:r>
    </w:p>
    <w:p w:rsidR="001A49A6" w:rsidRDefault="001A49A6" w:rsidP="00C337C8">
      <w:pPr>
        <w:jc w:val="center"/>
        <w:rPr>
          <w:rFonts w:ascii="Candara" w:hAnsi="Candara"/>
          <w:sz w:val="24"/>
          <w:szCs w:val="24"/>
          <w:lang w:val="es-MX"/>
        </w:rPr>
      </w:pPr>
    </w:p>
    <w:p w:rsidR="00871062" w:rsidRDefault="0039592C" w:rsidP="00C337C8">
      <w:pPr>
        <w:jc w:val="center"/>
        <w:rPr>
          <w:rFonts w:ascii="Candara" w:hAnsi="Candara"/>
          <w:sz w:val="24"/>
          <w:szCs w:val="24"/>
          <w:lang w:val="es-MX"/>
        </w:rPr>
      </w:pPr>
      <w:r w:rsidRPr="0039592C">
        <w:rPr>
          <w:noProof/>
        </w:rPr>
        <w:drawing>
          <wp:inline distT="0" distB="0" distL="0" distR="0" wp14:anchorId="4F93CEE0" wp14:editId="7466AC74">
            <wp:extent cx="5971540" cy="282885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2828851"/>
                    </a:xfrm>
                    <a:prstGeom prst="rect">
                      <a:avLst/>
                    </a:prstGeom>
                    <a:noFill/>
                    <a:ln>
                      <a:noFill/>
                    </a:ln>
                  </pic:spPr>
                </pic:pic>
              </a:graphicData>
            </a:graphic>
          </wp:inline>
        </w:drawing>
      </w:r>
    </w:p>
    <w:p w:rsidR="00BF745F" w:rsidRPr="00BF745F" w:rsidRDefault="00BF745F" w:rsidP="00C337C8">
      <w:pPr>
        <w:jc w:val="center"/>
        <w:rPr>
          <w:rFonts w:ascii="Candara" w:hAnsi="Candara"/>
          <w:sz w:val="16"/>
          <w:szCs w:val="16"/>
          <w:lang w:val="es-MX"/>
        </w:rPr>
      </w:pPr>
    </w:p>
    <w:p w:rsidR="001E1C63" w:rsidRDefault="001E1C63" w:rsidP="00C337C8">
      <w:pPr>
        <w:jc w:val="center"/>
        <w:rPr>
          <w:rFonts w:ascii="Candara" w:hAnsi="Candara"/>
          <w:sz w:val="24"/>
          <w:szCs w:val="24"/>
          <w:lang w:val="es-MX"/>
        </w:rPr>
      </w:pPr>
    </w:p>
    <w:p w:rsidR="00773139" w:rsidRPr="00EB2064" w:rsidRDefault="00773139" w:rsidP="00EB2064">
      <w:pPr>
        <w:pStyle w:val="Heading3"/>
        <w:rPr>
          <w:lang w:val="es-MX"/>
        </w:rPr>
      </w:pPr>
      <w:bookmarkStart w:id="26" w:name="_Toc509301814"/>
      <w:bookmarkStart w:id="27" w:name="_Toc64531470"/>
      <w:bookmarkStart w:id="28" w:name="_Toc308681664"/>
      <w:bookmarkStart w:id="29" w:name="_Toc319049210"/>
      <w:bookmarkStart w:id="30" w:name="_Toc411843462"/>
      <w:r w:rsidRPr="00EB2064">
        <w:rPr>
          <w:lang w:val="es-MX"/>
        </w:rPr>
        <w:t>1.</w:t>
      </w:r>
      <w:r w:rsidR="001F3912" w:rsidRPr="00EB2064">
        <w:rPr>
          <w:lang w:val="es-MX"/>
        </w:rPr>
        <w:t>1.</w:t>
      </w:r>
      <w:r w:rsidR="008D5836" w:rsidRPr="00EB2064">
        <w:rPr>
          <w:lang w:val="es-MX"/>
        </w:rPr>
        <w:t>5</w:t>
      </w:r>
      <w:r w:rsidRPr="00EB2064">
        <w:rPr>
          <w:lang w:val="es-MX"/>
        </w:rPr>
        <w:t xml:space="preserve"> Recaudación Tributaria comparada con lo Presupuestado.</w:t>
      </w:r>
      <w:bookmarkEnd w:id="26"/>
      <w:bookmarkEnd w:id="27"/>
    </w:p>
    <w:p w:rsidR="00773139" w:rsidRPr="00D551BE" w:rsidRDefault="00773139" w:rsidP="00773139">
      <w:pPr>
        <w:jc w:val="both"/>
        <w:rPr>
          <w:rFonts w:ascii="Candara" w:hAnsi="Candara"/>
          <w:sz w:val="24"/>
          <w:szCs w:val="24"/>
          <w:lang w:val="es-MX"/>
        </w:rPr>
      </w:pPr>
    </w:p>
    <w:p w:rsidR="0003199D" w:rsidRDefault="00773139" w:rsidP="00773139">
      <w:pPr>
        <w:jc w:val="both"/>
        <w:rPr>
          <w:rFonts w:ascii="Candara" w:hAnsi="Candara"/>
          <w:sz w:val="24"/>
          <w:szCs w:val="24"/>
          <w:lang w:val="es-MX"/>
        </w:rPr>
      </w:pPr>
      <w:r w:rsidRPr="00D551BE">
        <w:rPr>
          <w:rFonts w:ascii="Candara" w:hAnsi="Candara"/>
          <w:sz w:val="24"/>
          <w:szCs w:val="24"/>
          <w:lang w:val="es-MX"/>
        </w:rPr>
        <w:t xml:space="preserve">De acuerdo con las cifras de la DGT, la recaudación tributaria acumulada al final </w:t>
      </w:r>
      <w:r w:rsidR="00D551BE" w:rsidRPr="00D551BE">
        <w:rPr>
          <w:rFonts w:ascii="Candara" w:hAnsi="Candara"/>
          <w:sz w:val="24"/>
          <w:szCs w:val="24"/>
          <w:lang w:val="es-MX"/>
        </w:rPr>
        <w:t xml:space="preserve">del </w:t>
      </w:r>
      <w:r w:rsidR="007D5077">
        <w:rPr>
          <w:rFonts w:ascii="Candara" w:hAnsi="Candara"/>
          <w:sz w:val="24"/>
          <w:szCs w:val="24"/>
          <w:lang w:val="es-MX"/>
        </w:rPr>
        <w:t>año</w:t>
      </w:r>
      <w:r w:rsidR="006854AC">
        <w:rPr>
          <w:rFonts w:ascii="Candara" w:hAnsi="Candara"/>
          <w:sz w:val="24"/>
          <w:szCs w:val="24"/>
          <w:lang w:val="es-MX"/>
        </w:rPr>
        <w:t xml:space="preserve"> </w:t>
      </w:r>
      <w:r w:rsidRPr="00D551BE">
        <w:rPr>
          <w:rFonts w:ascii="Candara" w:hAnsi="Candara"/>
          <w:sz w:val="24"/>
          <w:szCs w:val="24"/>
          <w:lang w:val="es-MX"/>
        </w:rPr>
        <w:t>de 20</w:t>
      </w:r>
      <w:r w:rsidR="00D551BE" w:rsidRPr="00D551BE">
        <w:rPr>
          <w:rFonts w:ascii="Candara" w:hAnsi="Candara"/>
          <w:sz w:val="24"/>
          <w:szCs w:val="24"/>
          <w:lang w:val="es-MX"/>
        </w:rPr>
        <w:t>20</w:t>
      </w:r>
      <w:r w:rsidRPr="00D551BE">
        <w:rPr>
          <w:rFonts w:ascii="Candara" w:hAnsi="Candara"/>
          <w:sz w:val="24"/>
          <w:szCs w:val="24"/>
          <w:lang w:val="es-MX"/>
        </w:rPr>
        <w:t xml:space="preserve"> ascendió a US$</w:t>
      </w:r>
      <w:r w:rsidR="00BD61B1">
        <w:rPr>
          <w:rFonts w:ascii="Candara" w:hAnsi="Candara"/>
          <w:sz w:val="24"/>
          <w:szCs w:val="24"/>
          <w:lang w:val="es-MX"/>
        </w:rPr>
        <w:t>4,6</w:t>
      </w:r>
      <w:r w:rsidR="001A49A6">
        <w:rPr>
          <w:rFonts w:ascii="Candara" w:hAnsi="Candara"/>
          <w:sz w:val="24"/>
          <w:szCs w:val="24"/>
          <w:lang w:val="es-MX"/>
        </w:rPr>
        <w:t>25.8</w:t>
      </w:r>
      <w:r w:rsidRPr="00D551BE">
        <w:rPr>
          <w:rFonts w:ascii="Candara" w:hAnsi="Candara"/>
          <w:sz w:val="24"/>
          <w:szCs w:val="24"/>
          <w:lang w:val="es-MX"/>
        </w:rPr>
        <w:t xml:space="preserve"> millones, al compararse con la cifra del presupuesto votado, </w:t>
      </w:r>
      <w:r w:rsidR="007D5077">
        <w:rPr>
          <w:rFonts w:ascii="Candara" w:hAnsi="Candara"/>
          <w:sz w:val="24"/>
          <w:szCs w:val="24"/>
          <w:lang w:val="es-MX"/>
        </w:rPr>
        <w:t>muestra que todos los rubro</w:t>
      </w:r>
      <w:r w:rsidR="00F93983">
        <w:rPr>
          <w:rFonts w:ascii="Candara" w:hAnsi="Candara"/>
          <w:sz w:val="24"/>
          <w:szCs w:val="24"/>
          <w:lang w:val="es-MX"/>
        </w:rPr>
        <w:t>s</w:t>
      </w:r>
      <w:r w:rsidR="007D5077">
        <w:rPr>
          <w:rFonts w:ascii="Candara" w:hAnsi="Candara"/>
          <w:sz w:val="24"/>
          <w:szCs w:val="24"/>
          <w:lang w:val="es-MX"/>
        </w:rPr>
        <w:t xml:space="preserve"> </w:t>
      </w:r>
      <w:r w:rsidR="005350F6">
        <w:rPr>
          <w:rFonts w:ascii="Candara" w:hAnsi="Candara"/>
          <w:sz w:val="24"/>
          <w:szCs w:val="24"/>
          <w:lang w:val="es-MX"/>
        </w:rPr>
        <w:t>con respecto a</w:t>
      </w:r>
      <w:r w:rsidR="007D5077">
        <w:rPr>
          <w:rFonts w:ascii="Candara" w:hAnsi="Candara"/>
          <w:sz w:val="24"/>
          <w:szCs w:val="24"/>
          <w:lang w:val="es-MX"/>
        </w:rPr>
        <w:t xml:space="preserve"> la meta presupuestaria anual, resul</w:t>
      </w:r>
      <w:r w:rsidR="00F93983">
        <w:rPr>
          <w:rFonts w:ascii="Candara" w:hAnsi="Candara"/>
          <w:sz w:val="24"/>
          <w:szCs w:val="24"/>
          <w:lang w:val="es-MX"/>
        </w:rPr>
        <w:t>t</w:t>
      </w:r>
      <w:r w:rsidR="007D5077">
        <w:rPr>
          <w:rFonts w:ascii="Candara" w:hAnsi="Candara"/>
          <w:sz w:val="24"/>
          <w:szCs w:val="24"/>
          <w:lang w:val="es-MX"/>
        </w:rPr>
        <w:t xml:space="preserve">aron </w:t>
      </w:r>
      <w:r w:rsidR="00F93983">
        <w:rPr>
          <w:rFonts w:ascii="Candara" w:hAnsi="Candara"/>
          <w:sz w:val="24"/>
          <w:szCs w:val="24"/>
          <w:lang w:val="es-MX"/>
        </w:rPr>
        <w:t xml:space="preserve">que todos ellos quedaron por debajo de la meta </w:t>
      </w:r>
      <w:r w:rsidRPr="00D551BE">
        <w:rPr>
          <w:rFonts w:ascii="Candara" w:hAnsi="Candara"/>
          <w:sz w:val="24"/>
          <w:szCs w:val="24"/>
          <w:lang w:val="es-MX"/>
        </w:rPr>
        <w:t>en 1</w:t>
      </w:r>
      <w:r w:rsidR="00BD61B1">
        <w:rPr>
          <w:rFonts w:ascii="Candara" w:hAnsi="Candara"/>
          <w:sz w:val="24"/>
          <w:szCs w:val="24"/>
          <w:lang w:val="es-MX"/>
        </w:rPr>
        <w:t>0.5</w:t>
      </w:r>
      <w:r w:rsidRPr="00D551BE">
        <w:rPr>
          <w:rFonts w:ascii="Candara" w:hAnsi="Candara"/>
          <w:sz w:val="24"/>
          <w:szCs w:val="24"/>
          <w:lang w:val="es-MX"/>
        </w:rPr>
        <w:t>% (US$</w:t>
      </w:r>
      <w:r w:rsidR="00D551BE" w:rsidRPr="00D551BE">
        <w:rPr>
          <w:rFonts w:ascii="Candara" w:hAnsi="Candara"/>
          <w:sz w:val="24"/>
          <w:szCs w:val="24"/>
          <w:lang w:val="es-MX"/>
        </w:rPr>
        <w:t>53</w:t>
      </w:r>
      <w:r w:rsidR="001A49A6">
        <w:rPr>
          <w:rFonts w:ascii="Candara" w:hAnsi="Candara"/>
          <w:sz w:val="24"/>
          <w:szCs w:val="24"/>
          <w:lang w:val="es-MX"/>
        </w:rPr>
        <w:t xml:space="preserve">1.2 </w:t>
      </w:r>
      <w:r w:rsidRPr="00D551BE">
        <w:rPr>
          <w:rFonts w:ascii="Candara" w:hAnsi="Candara"/>
          <w:sz w:val="24"/>
          <w:szCs w:val="24"/>
          <w:lang w:val="es-MX"/>
        </w:rPr>
        <w:t xml:space="preserve">millones), </w:t>
      </w:r>
      <w:r w:rsidR="00F93983">
        <w:rPr>
          <w:rFonts w:ascii="Candara" w:hAnsi="Candara"/>
          <w:sz w:val="24"/>
          <w:szCs w:val="24"/>
          <w:lang w:val="es-MX"/>
        </w:rPr>
        <w:t xml:space="preserve">es decir, que el cumplimiento presupuestario alcanzó el 89.5%, </w:t>
      </w:r>
      <w:r w:rsidRPr="00D551BE">
        <w:rPr>
          <w:rFonts w:ascii="Candara" w:hAnsi="Candara"/>
          <w:sz w:val="24"/>
          <w:szCs w:val="24"/>
          <w:lang w:val="es-MX"/>
        </w:rPr>
        <w:t xml:space="preserve">generado principalmente por las variaciones </w:t>
      </w:r>
      <w:r w:rsidR="00D551BE" w:rsidRPr="00D551BE">
        <w:rPr>
          <w:rFonts w:ascii="Candara" w:hAnsi="Candara"/>
          <w:sz w:val="24"/>
          <w:szCs w:val="24"/>
          <w:lang w:val="es-MX"/>
        </w:rPr>
        <w:t>negativas</w:t>
      </w:r>
      <w:r w:rsidRPr="00D551BE">
        <w:rPr>
          <w:rFonts w:ascii="Candara" w:hAnsi="Candara"/>
          <w:sz w:val="24"/>
          <w:szCs w:val="24"/>
          <w:lang w:val="es-MX"/>
        </w:rPr>
        <w:t xml:space="preserve"> en los rubros de IVA</w:t>
      </w:r>
      <w:r w:rsidR="00F93983">
        <w:rPr>
          <w:rFonts w:ascii="Candara" w:hAnsi="Candara"/>
          <w:sz w:val="24"/>
          <w:szCs w:val="24"/>
          <w:lang w:val="es-MX"/>
        </w:rPr>
        <w:t>,</w:t>
      </w:r>
      <w:r w:rsidR="00D551BE" w:rsidRPr="00D551BE">
        <w:rPr>
          <w:rFonts w:ascii="Candara" w:hAnsi="Candara"/>
          <w:sz w:val="24"/>
          <w:szCs w:val="24"/>
          <w:lang w:val="es-MX"/>
        </w:rPr>
        <w:t xml:space="preserve"> Renta</w:t>
      </w:r>
      <w:r w:rsidR="00F93983">
        <w:rPr>
          <w:rFonts w:ascii="Candara" w:hAnsi="Candara"/>
          <w:sz w:val="24"/>
          <w:szCs w:val="24"/>
          <w:lang w:val="es-MX"/>
        </w:rPr>
        <w:t xml:space="preserve"> y aranceles, en 10.</w:t>
      </w:r>
      <w:r w:rsidR="001A49A6">
        <w:rPr>
          <w:rFonts w:ascii="Candara" w:hAnsi="Candara"/>
          <w:sz w:val="24"/>
          <w:szCs w:val="24"/>
          <w:lang w:val="es-MX"/>
        </w:rPr>
        <w:t>5</w:t>
      </w:r>
      <w:r w:rsidR="00F93983">
        <w:rPr>
          <w:rFonts w:ascii="Candara" w:hAnsi="Candara"/>
          <w:sz w:val="24"/>
          <w:szCs w:val="24"/>
          <w:lang w:val="es-MX"/>
        </w:rPr>
        <w:t>%, 8.0% y -23.</w:t>
      </w:r>
      <w:r w:rsidR="001A49A6">
        <w:rPr>
          <w:rFonts w:ascii="Candara" w:hAnsi="Candara"/>
          <w:sz w:val="24"/>
          <w:szCs w:val="24"/>
          <w:lang w:val="es-MX"/>
        </w:rPr>
        <w:t>8</w:t>
      </w:r>
      <w:r w:rsidR="00F93983">
        <w:rPr>
          <w:rFonts w:ascii="Candara" w:hAnsi="Candara"/>
          <w:sz w:val="24"/>
          <w:szCs w:val="24"/>
          <w:lang w:val="es-MX"/>
        </w:rPr>
        <w:t xml:space="preserve">%, respectivamente, </w:t>
      </w:r>
      <w:r w:rsidRPr="00D551BE">
        <w:rPr>
          <w:rFonts w:ascii="Candara" w:hAnsi="Candara"/>
          <w:sz w:val="24"/>
          <w:szCs w:val="24"/>
          <w:lang w:val="es-MX"/>
        </w:rPr>
        <w:t>tal como se muestra en la siguiente tabla.</w:t>
      </w:r>
    </w:p>
    <w:p w:rsidR="00871062" w:rsidRDefault="00871062"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C75E6A" w:rsidRDefault="00C75E6A" w:rsidP="00773139">
      <w:pPr>
        <w:jc w:val="both"/>
        <w:rPr>
          <w:rFonts w:ascii="Candara" w:hAnsi="Candara"/>
          <w:sz w:val="24"/>
          <w:szCs w:val="24"/>
          <w:lang w:val="es-MX"/>
        </w:rPr>
      </w:pPr>
    </w:p>
    <w:p w:rsidR="0044457B" w:rsidRPr="0044457B" w:rsidRDefault="00871062" w:rsidP="00871062">
      <w:pPr>
        <w:jc w:val="center"/>
        <w:rPr>
          <w:rFonts w:ascii="Arial" w:hAnsi="Arial" w:cs="Arial"/>
          <w:b/>
          <w:sz w:val="22"/>
          <w:szCs w:val="22"/>
          <w:lang w:val="es-MX"/>
        </w:rPr>
      </w:pPr>
      <w:r>
        <w:rPr>
          <w:rFonts w:ascii="Arial" w:hAnsi="Arial" w:cs="Arial"/>
          <w:b/>
          <w:sz w:val="22"/>
          <w:szCs w:val="22"/>
          <w:lang w:val="es-MX"/>
        </w:rPr>
        <w:t>Tab</w:t>
      </w:r>
      <w:r w:rsidR="0044457B" w:rsidRPr="0044457B">
        <w:rPr>
          <w:rFonts w:ascii="Arial" w:hAnsi="Arial" w:cs="Arial"/>
          <w:b/>
          <w:sz w:val="22"/>
          <w:szCs w:val="22"/>
          <w:lang w:val="es-MX"/>
        </w:rPr>
        <w:t>la</w:t>
      </w:r>
      <w:r>
        <w:rPr>
          <w:rFonts w:ascii="Arial" w:hAnsi="Arial" w:cs="Arial"/>
          <w:b/>
          <w:sz w:val="22"/>
          <w:szCs w:val="22"/>
          <w:lang w:val="es-MX"/>
        </w:rPr>
        <w:t xml:space="preserve"> </w:t>
      </w:r>
      <w:r w:rsidR="0044457B" w:rsidRPr="0044457B">
        <w:rPr>
          <w:rFonts w:ascii="Arial" w:hAnsi="Arial" w:cs="Arial"/>
          <w:b/>
          <w:sz w:val="22"/>
          <w:szCs w:val="22"/>
          <w:lang w:val="es-MX"/>
        </w:rPr>
        <w:t>2</w:t>
      </w:r>
      <w:r>
        <w:rPr>
          <w:rFonts w:ascii="Arial" w:hAnsi="Arial" w:cs="Arial"/>
          <w:b/>
          <w:sz w:val="22"/>
          <w:szCs w:val="22"/>
          <w:lang w:val="es-MX"/>
        </w:rPr>
        <w:t>:</w:t>
      </w:r>
      <w:r w:rsidR="0044457B" w:rsidRPr="0044457B">
        <w:rPr>
          <w:rFonts w:ascii="Arial" w:hAnsi="Arial" w:cs="Arial"/>
          <w:b/>
          <w:sz w:val="22"/>
          <w:szCs w:val="22"/>
          <w:lang w:val="es-MX"/>
        </w:rPr>
        <w:t xml:space="preserve"> </w:t>
      </w:r>
      <w:r w:rsidR="00DF7DE2">
        <w:rPr>
          <w:rFonts w:ascii="Arial" w:hAnsi="Arial" w:cs="Arial"/>
          <w:b/>
          <w:sz w:val="22"/>
          <w:szCs w:val="22"/>
          <w:lang w:val="es-MX"/>
        </w:rPr>
        <w:t xml:space="preserve">ingresos corrientes </w:t>
      </w:r>
      <w:r w:rsidR="00613FF3">
        <w:rPr>
          <w:rFonts w:ascii="Arial" w:hAnsi="Arial" w:cs="Arial"/>
          <w:b/>
          <w:sz w:val="22"/>
          <w:szCs w:val="22"/>
          <w:lang w:val="es-MX"/>
        </w:rPr>
        <w:t xml:space="preserve">del Gobierno Central </w:t>
      </w:r>
      <w:r>
        <w:rPr>
          <w:rFonts w:ascii="Arial" w:hAnsi="Arial" w:cs="Arial"/>
          <w:b/>
          <w:sz w:val="22"/>
          <w:szCs w:val="22"/>
          <w:lang w:val="es-MX"/>
        </w:rPr>
        <w:t xml:space="preserve">al cierre </w:t>
      </w:r>
      <w:r w:rsidR="0044457B" w:rsidRPr="0044457B">
        <w:rPr>
          <w:rFonts w:ascii="Arial" w:hAnsi="Arial" w:cs="Arial"/>
          <w:b/>
          <w:sz w:val="22"/>
          <w:szCs w:val="22"/>
          <w:lang w:val="es-MX"/>
        </w:rPr>
        <w:t xml:space="preserve">de 2020, </w:t>
      </w:r>
      <w:proofErr w:type="spellStart"/>
      <w:r w:rsidR="0044457B" w:rsidRPr="0044457B">
        <w:rPr>
          <w:rFonts w:ascii="Arial" w:hAnsi="Arial" w:cs="Arial"/>
          <w:b/>
          <w:sz w:val="22"/>
          <w:szCs w:val="22"/>
          <w:lang w:val="es-MX"/>
        </w:rPr>
        <w:t>vrs</w:t>
      </w:r>
      <w:proofErr w:type="spellEnd"/>
      <w:r w:rsidR="0044457B" w:rsidRPr="0044457B">
        <w:rPr>
          <w:rFonts w:ascii="Arial" w:hAnsi="Arial" w:cs="Arial"/>
          <w:b/>
          <w:sz w:val="22"/>
          <w:szCs w:val="22"/>
          <w:lang w:val="es-MX"/>
        </w:rPr>
        <w:t xml:space="preserve"> ejecutado 2019 y presupuesto 2020</w:t>
      </w:r>
      <w:r>
        <w:rPr>
          <w:rFonts w:ascii="Arial" w:hAnsi="Arial" w:cs="Arial"/>
          <w:b/>
          <w:sz w:val="22"/>
          <w:szCs w:val="22"/>
          <w:lang w:val="es-MX"/>
        </w:rPr>
        <w:t>.</w:t>
      </w:r>
    </w:p>
    <w:p w:rsidR="0044457B" w:rsidRPr="0044457B" w:rsidRDefault="0044457B" w:rsidP="0044457B">
      <w:pPr>
        <w:jc w:val="center"/>
        <w:rPr>
          <w:rFonts w:ascii="Arial" w:hAnsi="Arial" w:cs="Arial"/>
          <w:b/>
          <w:bCs/>
          <w:sz w:val="22"/>
          <w:szCs w:val="22"/>
          <w:lang w:val="es-SV" w:eastAsia="es-SV"/>
        </w:rPr>
      </w:pPr>
      <w:r w:rsidRPr="0044457B">
        <w:rPr>
          <w:rFonts w:ascii="Arial" w:hAnsi="Arial" w:cs="Arial"/>
          <w:b/>
          <w:bCs/>
          <w:sz w:val="22"/>
          <w:szCs w:val="22"/>
          <w:lang w:val="es-SV" w:eastAsia="es-SV"/>
        </w:rPr>
        <w:t>(Montos en Millones de US$)</w:t>
      </w:r>
    </w:p>
    <w:p w:rsidR="0044457B" w:rsidRPr="0044457B" w:rsidRDefault="001A49A6" w:rsidP="00773139">
      <w:pPr>
        <w:jc w:val="both"/>
        <w:rPr>
          <w:rFonts w:ascii="Candara" w:hAnsi="Candara"/>
          <w:sz w:val="24"/>
          <w:szCs w:val="24"/>
          <w:lang w:val="es-SV"/>
        </w:rPr>
      </w:pPr>
      <w:r w:rsidRPr="001A49A6">
        <w:rPr>
          <w:noProof/>
        </w:rPr>
        <w:drawing>
          <wp:inline distT="0" distB="0" distL="0" distR="0" wp14:anchorId="339B7CEA" wp14:editId="774B07E7">
            <wp:extent cx="5971540" cy="5291957"/>
            <wp:effectExtent l="0" t="0" r="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5291957"/>
                    </a:xfrm>
                    <a:prstGeom prst="rect">
                      <a:avLst/>
                    </a:prstGeom>
                    <a:noFill/>
                    <a:ln>
                      <a:noFill/>
                    </a:ln>
                  </pic:spPr>
                </pic:pic>
              </a:graphicData>
            </a:graphic>
          </wp:inline>
        </w:drawing>
      </w:r>
    </w:p>
    <w:p w:rsidR="00D94390" w:rsidRDefault="00D94390" w:rsidP="00871062">
      <w:pPr>
        <w:pStyle w:val="Heading2"/>
        <w:jc w:val="center"/>
        <w:rPr>
          <w:rFonts w:ascii="Candara" w:hAnsi="Candara"/>
          <w:b/>
          <w:sz w:val="24"/>
          <w:szCs w:val="24"/>
          <w:lang w:val="es-MX"/>
        </w:rPr>
      </w:pPr>
    </w:p>
    <w:p w:rsidR="00773139" w:rsidRDefault="00773139" w:rsidP="00773139">
      <w:pPr>
        <w:rPr>
          <w:lang w:val="es-MX"/>
        </w:rPr>
      </w:pPr>
    </w:p>
    <w:p w:rsidR="00BE54F5" w:rsidRPr="00D149E7" w:rsidRDefault="009B117C" w:rsidP="009B117C">
      <w:pPr>
        <w:pStyle w:val="Heading2"/>
        <w:rPr>
          <w:rFonts w:ascii="Candara" w:hAnsi="Candara"/>
          <w:b/>
          <w:sz w:val="24"/>
          <w:szCs w:val="24"/>
          <w:lang w:val="es-MX"/>
        </w:rPr>
      </w:pPr>
      <w:bookmarkStart w:id="31" w:name="_Toc56581207"/>
      <w:bookmarkStart w:id="32" w:name="_Toc64531472"/>
      <w:r w:rsidRPr="00D149E7">
        <w:rPr>
          <w:rFonts w:ascii="Candara" w:hAnsi="Candara"/>
          <w:b/>
          <w:sz w:val="24"/>
          <w:szCs w:val="24"/>
          <w:lang w:val="es-MX"/>
        </w:rPr>
        <w:t xml:space="preserve">1.2 </w:t>
      </w:r>
      <w:r w:rsidR="00BE54F5" w:rsidRPr="00D149E7">
        <w:rPr>
          <w:rFonts w:ascii="Candara" w:hAnsi="Candara"/>
          <w:b/>
          <w:sz w:val="24"/>
          <w:szCs w:val="24"/>
          <w:lang w:val="es-MX"/>
        </w:rPr>
        <w:t xml:space="preserve">Ingresos no </w:t>
      </w:r>
      <w:r w:rsidR="006007E8" w:rsidRPr="00D149E7">
        <w:rPr>
          <w:rFonts w:ascii="Candara" w:hAnsi="Candara"/>
          <w:b/>
          <w:sz w:val="24"/>
          <w:szCs w:val="24"/>
          <w:lang w:val="es-MX"/>
        </w:rPr>
        <w:t>T</w:t>
      </w:r>
      <w:r w:rsidR="00BE54F5" w:rsidRPr="00D149E7">
        <w:rPr>
          <w:rFonts w:ascii="Candara" w:hAnsi="Candara"/>
          <w:b/>
          <w:sz w:val="24"/>
          <w:szCs w:val="24"/>
          <w:lang w:val="es-MX"/>
        </w:rPr>
        <w:t>ributarios</w:t>
      </w:r>
      <w:bookmarkEnd w:id="28"/>
      <w:bookmarkEnd w:id="29"/>
      <w:bookmarkEnd w:id="30"/>
      <w:bookmarkEnd w:id="31"/>
      <w:bookmarkEnd w:id="32"/>
    </w:p>
    <w:p w:rsidR="00BE54F5" w:rsidRPr="00EC1B2B" w:rsidRDefault="00BE54F5" w:rsidP="004A685A">
      <w:pPr>
        <w:jc w:val="both"/>
        <w:rPr>
          <w:rFonts w:ascii="Candara" w:hAnsi="Candara"/>
          <w:sz w:val="16"/>
          <w:szCs w:val="16"/>
          <w:lang w:val="es-MX"/>
        </w:rPr>
      </w:pPr>
    </w:p>
    <w:p w:rsidR="00BE1098" w:rsidRDefault="00BE1098" w:rsidP="00BE1098">
      <w:pPr>
        <w:tabs>
          <w:tab w:val="left" w:pos="0"/>
          <w:tab w:val="left" w:pos="9214"/>
        </w:tabs>
        <w:autoSpaceDE w:val="0"/>
        <w:autoSpaceDN w:val="0"/>
        <w:adjustRightInd w:val="0"/>
        <w:spacing w:after="140"/>
        <w:jc w:val="both"/>
        <w:rPr>
          <w:rFonts w:ascii="Candara" w:hAnsi="Candara" w:cs="Arial"/>
          <w:iCs/>
          <w:sz w:val="24"/>
          <w:szCs w:val="24"/>
          <w:lang w:val="es-419"/>
        </w:rPr>
      </w:pPr>
      <w:r w:rsidRPr="003502E8">
        <w:rPr>
          <w:rFonts w:ascii="Candara" w:hAnsi="Candara" w:cs="Arial"/>
          <w:iCs/>
          <w:sz w:val="24"/>
          <w:szCs w:val="24"/>
          <w:lang w:val="es-419"/>
        </w:rPr>
        <w:t>En l</w:t>
      </w:r>
      <w:r w:rsidRPr="003502E8">
        <w:rPr>
          <w:rFonts w:ascii="Candara" w:hAnsi="Candara" w:cs="Arial"/>
          <w:iCs/>
          <w:sz w:val="24"/>
          <w:szCs w:val="24"/>
          <w:lang w:val="es-MX"/>
        </w:rPr>
        <w:t xml:space="preserve">os ingresos no tributarios a nivel de SPNF </w:t>
      </w:r>
      <w:r w:rsidRPr="003502E8">
        <w:rPr>
          <w:rFonts w:ascii="Candara" w:hAnsi="Candara" w:cs="Arial"/>
          <w:iCs/>
          <w:sz w:val="24"/>
          <w:szCs w:val="24"/>
          <w:lang w:val="es-419"/>
        </w:rPr>
        <w:t>se obtuvo un monto</w:t>
      </w:r>
      <w:r w:rsidRPr="003502E8">
        <w:rPr>
          <w:rFonts w:ascii="Candara" w:hAnsi="Candara" w:cs="Arial"/>
          <w:iCs/>
          <w:sz w:val="24"/>
          <w:szCs w:val="24"/>
          <w:lang w:val="es-MX"/>
        </w:rPr>
        <w:t xml:space="preserve"> de $</w:t>
      </w:r>
      <w:r w:rsidR="003502E8" w:rsidRPr="003502E8">
        <w:rPr>
          <w:rFonts w:ascii="Candara" w:hAnsi="Candara" w:cs="Arial"/>
          <w:iCs/>
          <w:sz w:val="24"/>
          <w:szCs w:val="24"/>
          <w:lang w:val="es-MX"/>
        </w:rPr>
        <w:t>90</w:t>
      </w:r>
      <w:r w:rsidR="0093148C">
        <w:rPr>
          <w:rFonts w:ascii="Candara" w:hAnsi="Candara" w:cs="Arial"/>
          <w:iCs/>
          <w:sz w:val="24"/>
          <w:szCs w:val="24"/>
          <w:lang w:val="es-MX"/>
        </w:rPr>
        <w:t>2.9</w:t>
      </w:r>
      <w:r w:rsidRPr="003502E8">
        <w:rPr>
          <w:rFonts w:ascii="Candara" w:hAnsi="Candara" w:cs="Arial"/>
          <w:iCs/>
          <w:sz w:val="24"/>
          <w:szCs w:val="24"/>
          <w:lang w:val="es-MX"/>
        </w:rPr>
        <w:t xml:space="preserve"> millones, </w:t>
      </w:r>
      <w:r w:rsidRPr="003502E8">
        <w:rPr>
          <w:rFonts w:ascii="Candara" w:hAnsi="Candara" w:cs="Arial"/>
          <w:iCs/>
          <w:sz w:val="24"/>
          <w:szCs w:val="24"/>
          <w:lang w:val="es-419"/>
        </w:rPr>
        <w:t>valor que ha</w:t>
      </w:r>
      <w:r w:rsidRPr="007F50E2">
        <w:rPr>
          <w:rFonts w:ascii="Candara" w:hAnsi="Candara" w:cs="Arial"/>
          <w:iCs/>
          <w:sz w:val="24"/>
          <w:szCs w:val="24"/>
          <w:lang w:val="es-419"/>
        </w:rPr>
        <w:t xml:space="preserve"> </w:t>
      </w:r>
      <w:r w:rsidR="002053D6">
        <w:rPr>
          <w:rFonts w:ascii="Candara" w:hAnsi="Candara" w:cs="Arial"/>
          <w:iCs/>
          <w:sz w:val="24"/>
          <w:szCs w:val="24"/>
          <w:lang w:val="es-419"/>
        </w:rPr>
        <w:t>disminuido</w:t>
      </w:r>
      <w:r w:rsidRPr="007F50E2">
        <w:rPr>
          <w:rFonts w:ascii="Candara" w:hAnsi="Candara" w:cs="Arial"/>
          <w:iCs/>
          <w:sz w:val="24"/>
          <w:szCs w:val="24"/>
          <w:lang w:val="es-419"/>
        </w:rPr>
        <w:t xml:space="preserve"> en términos absoluto</w:t>
      </w:r>
      <w:r w:rsidRPr="007F50E2">
        <w:rPr>
          <w:rFonts w:ascii="Candara" w:hAnsi="Candara" w:cs="Arial"/>
          <w:iCs/>
          <w:sz w:val="24"/>
          <w:szCs w:val="24"/>
          <w:lang w:val="es-MX"/>
        </w:rPr>
        <w:t xml:space="preserve">s </w:t>
      </w:r>
      <w:r w:rsidRPr="007F50E2">
        <w:rPr>
          <w:rFonts w:ascii="Candara" w:hAnsi="Candara" w:cs="Arial"/>
          <w:iCs/>
          <w:sz w:val="24"/>
          <w:szCs w:val="24"/>
          <w:lang w:val="es-419"/>
        </w:rPr>
        <w:t>con respecto a</w:t>
      </w:r>
      <w:r w:rsidRPr="007F50E2">
        <w:rPr>
          <w:rFonts w:ascii="Candara" w:hAnsi="Candara" w:cs="Arial"/>
          <w:iCs/>
          <w:sz w:val="24"/>
          <w:szCs w:val="24"/>
          <w:lang w:val="es-SV"/>
        </w:rPr>
        <w:t xml:space="preserve"> </w:t>
      </w:r>
      <w:r w:rsidR="006854AC">
        <w:rPr>
          <w:rFonts w:ascii="Candara" w:hAnsi="Candara" w:cs="Arial"/>
          <w:iCs/>
          <w:sz w:val="24"/>
          <w:szCs w:val="24"/>
          <w:lang w:val="es-SV"/>
        </w:rPr>
        <w:t>diciembre</w:t>
      </w:r>
      <w:r w:rsidRPr="007F50E2">
        <w:rPr>
          <w:rFonts w:ascii="Candara" w:hAnsi="Candara" w:cs="Arial"/>
          <w:iCs/>
          <w:sz w:val="24"/>
          <w:szCs w:val="24"/>
          <w:lang w:val="es-419"/>
        </w:rPr>
        <w:t xml:space="preserve"> </w:t>
      </w:r>
      <w:r w:rsidR="00042C94">
        <w:rPr>
          <w:rFonts w:ascii="Candara" w:hAnsi="Candara" w:cs="Arial"/>
          <w:iCs/>
          <w:sz w:val="24"/>
          <w:szCs w:val="24"/>
          <w:lang w:val="es-419"/>
        </w:rPr>
        <w:t>2019</w:t>
      </w:r>
      <w:r w:rsidRPr="007F50E2">
        <w:rPr>
          <w:rFonts w:ascii="Candara" w:hAnsi="Candara" w:cs="Arial"/>
          <w:iCs/>
          <w:sz w:val="24"/>
          <w:szCs w:val="24"/>
          <w:lang w:val="es-419"/>
        </w:rPr>
        <w:t xml:space="preserve"> en $</w:t>
      </w:r>
      <w:r w:rsidR="003502E8">
        <w:rPr>
          <w:rFonts w:ascii="Candara" w:hAnsi="Candara" w:cs="Arial"/>
          <w:iCs/>
          <w:sz w:val="24"/>
          <w:szCs w:val="24"/>
          <w:lang w:val="es-419"/>
        </w:rPr>
        <w:t>9</w:t>
      </w:r>
      <w:r w:rsidR="000E40ED">
        <w:rPr>
          <w:rFonts w:ascii="Candara" w:hAnsi="Candara" w:cs="Arial"/>
          <w:iCs/>
          <w:sz w:val="24"/>
          <w:szCs w:val="24"/>
          <w:lang w:val="es-419"/>
        </w:rPr>
        <w:t>2.0</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 xml:space="preserve">como resultado de </w:t>
      </w:r>
      <w:r w:rsidR="002053D6">
        <w:rPr>
          <w:rFonts w:ascii="Candara" w:hAnsi="Candara" w:cs="Arial"/>
          <w:iCs/>
          <w:sz w:val="24"/>
          <w:szCs w:val="24"/>
          <w:lang w:val="es-419"/>
        </w:rPr>
        <w:t xml:space="preserve">reducciones </w:t>
      </w:r>
      <w:r w:rsidRPr="007F50E2">
        <w:rPr>
          <w:rFonts w:ascii="Candara" w:hAnsi="Candara" w:cs="Arial"/>
          <w:iCs/>
          <w:sz w:val="24"/>
          <w:szCs w:val="24"/>
          <w:lang w:val="es-419"/>
        </w:rPr>
        <w:t xml:space="preserve">en </w:t>
      </w:r>
      <w:r w:rsidR="004C7832">
        <w:rPr>
          <w:rFonts w:ascii="Candara" w:hAnsi="Candara" w:cs="Arial"/>
          <w:iCs/>
          <w:sz w:val="24"/>
          <w:szCs w:val="24"/>
          <w:lang w:val="es-SV"/>
        </w:rPr>
        <w:t>los subsectores</w:t>
      </w:r>
      <w:r w:rsidR="00EF40E3">
        <w:rPr>
          <w:rFonts w:ascii="Candara" w:hAnsi="Candara" w:cs="Arial"/>
          <w:iCs/>
          <w:sz w:val="24"/>
          <w:szCs w:val="24"/>
          <w:lang w:val="es-SV"/>
        </w:rPr>
        <w:t xml:space="preserve"> de</w:t>
      </w:r>
      <w:r w:rsidR="00C2656E">
        <w:rPr>
          <w:rFonts w:ascii="Candara" w:hAnsi="Candara" w:cs="Arial"/>
          <w:iCs/>
          <w:sz w:val="24"/>
          <w:szCs w:val="24"/>
          <w:lang w:val="es-SV"/>
        </w:rPr>
        <w:t xml:space="preserve"> </w:t>
      </w:r>
      <w:r w:rsidRPr="007F50E2">
        <w:rPr>
          <w:rFonts w:ascii="Candara" w:hAnsi="Candara" w:cs="Arial"/>
          <w:iCs/>
          <w:sz w:val="24"/>
          <w:szCs w:val="24"/>
          <w:lang w:val="es-SV"/>
        </w:rPr>
        <w:t xml:space="preserve">Gobierno Central </w:t>
      </w:r>
      <w:r w:rsidRPr="007F50E2">
        <w:rPr>
          <w:rFonts w:ascii="Candara" w:hAnsi="Candara" w:cs="Arial"/>
          <w:iCs/>
          <w:sz w:val="24"/>
          <w:szCs w:val="24"/>
          <w:lang w:val="es-419"/>
        </w:rPr>
        <w:t>por $</w:t>
      </w:r>
      <w:r w:rsidR="002053D6">
        <w:rPr>
          <w:rFonts w:ascii="Candara" w:hAnsi="Candara" w:cs="Arial"/>
          <w:iCs/>
          <w:sz w:val="24"/>
          <w:szCs w:val="24"/>
          <w:lang w:val="es-419"/>
        </w:rPr>
        <w:t>1</w:t>
      </w:r>
      <w:r w:rsidR="0093148C">
        <w:rPr>
          <w:rFonts w:ascii="Candara" w:hAnsi="Candara" w:cs="Arial"/>
          <w:iCs/>
          <w:sz w:val="24"/>
          <w:szCs w:val="24"/>
          <w:lang w:val="es-419"/>
        </w:rPr>
        <w:t>1.4</w:t>
      </w:r>
      <w:r w:rsidRPr="007F50E2">
        <w:rPr>
          <w:rFonts w:ascii="Candara" w:hAnsi="Candara" w:cs="Arial"/>
          <w:iCs/>
          <w:sz w:val="24"/>
          <w:szCs w:val="24"/>
          <w:lang w:val="es-419"/>
        </w:rPr>
        <w:t xml:space="preserve"> millones</w:t>
      </w:r>
      <w:r w:rsidR="00C2656E">
        <w:rPr>
          <w:rFonts w:ascii="Candara" w:hAnsi="Candara" w:cs="Arial"/>
          <w:iCs/>
          <w:sz w:val="24"/>
          <w:szCs w:val="24"/>
          <w:lang w:val="es-SV"/>
        </w:rPr>
        <w:t>,</w:t>
      </w:r>
      <w:r w:rsidR="00EF40E3">
        <w:rPr>
          <w:rFonts w:ascii="Candara" w:hAnsi="Candara" w:cs="Arial"/>
          <w:iCs/>
          <w:sz w:val="24"/>
          <w:szCs w:val="24"/>
          <w:lang w:val="es-SV"/>
        </w:rPr>
        <w:t xml:space="preserve"> en</w:t>
      </w:r>
      <w:r w:rsidR="00C2656E">
        <w:rPr>
          <w:rFonts w:ascii="Candara" w:hAnsi="Candara" w:cs="Arial"/>
          <w:iCs/>
          <w:sz w:val="24"/>
          <w:szCs w:val="24"/>
          <w:lang w:val="es-SV"/>
        </w:rPr>
        <w:t xml:space="preserve"> </w:t>
      </w:r>
      <w:r w:rsidR="00F71F6D">
        <w:rPr>
          <w:rFonts w:ascii="Candara" w:hAnsi="Candara" w:cs="Arial"/>
          <w:iCs/>
          <w:sz w:val="24"/>
          <w:szCs w:val="24"/>
          <w:lang w:val="es-SV"/>
        </w:rPr>
        <w:t xml:space="preserve">el </w:t>
      </w:r>
      <w:r w:rsidR="004C7832">
        <w:rPr>
          <w:rFonts w:ascii="Candara" w:hAnsi="Candara" w:cs="Arial"/>
          <w:iCs/>
          <w:sz w:val="24"/>
          <w:szCs w:val="24"/>
          <w:lang w:val="es-SV"/>
        </w:rPr>
        <w:t>Resto del Gobierno General</w:t>
      </w:r>
      <w:r w:rsidR="00C2656E">
        <w:rPr>
          <w:rFonts w:ascii="Candara" w:hAnsi="Candara" w:cs="Arial"/>
          <w:iCs/>
          <w:sz w:val="24"/>
          <w:szCs w:val="24"/>
          <w:lang w:val="es-SV"/>
        </w:rPr>
        <w:t>,</w:t>
      </w:r>
      <w:r w:rsidR="004C7832">
        <w:rPr>
          <w:rFonts w:ascii="Candara" w:hAnsi="Candara" w:cs="Arial"/>
          <w:iCs/>
          <w:sz w:val="24"/>
          <w:szCs w:val="24"/>
          <w:lang w:val="es-SV"/>
        </w:rPr>
        <w:t xml:space="preserve"> </w:t>
      </w:r>
      <w:r w:rsidR="00EF40E3">
        <w:rPr>
          <w:rFonts w:ascii="Candara" w:hAnsi="Candara" w:cs="Arial"/>
          <w:iCs/>
          <w:sz w:val="24"/>
          <w:szCs w:val="24"/>
          <w:lang w:val="es-SV"/>
        </w:rPr>
        <w:t xml:space="preserve">por </w:t>
      </w:r>
      <w:r w:rsidR="004C7832">
        <w:rPr>
          <w:rFonts w:ascii="Candara" w:hAnsi="Candara" w:cs="Arial"/>
          <w:iCs/>
          <w:sz w:val="24"/>
          <w:szCs w:val="24"/>
          <w:lang w:val="es-SV"/>
        </w:rPr>
        <w:t>$</w:t>
      </w:r>
      <w:r w:rsidR="003502E8">
        <w:rPr>
          <w:rFonts w:ascii="Candara" w:hAnsi="Candara" w:cs="Arial"/>
          <w:iCs/>
          <w:sz w:val="24"/>
          <w:szCs w:val="24"/>
          <w:lang w:val="es-SV"/>
        </w:rPr>
        <w:t>73.7</w:t>
      </w:r>
      <w:r w:rsidR="004C7832">
        <w:rPr>
          <w:rFonts w:ascii="Candara" w:hAnsi="Candara" w:cs="Arial"/>
          <w:iCs/>
          <w:sz w:val="24"/>
          <w:szCs w:val="24"/>
          <w:lang w:val="es-SV"/>
        </w:rPr>
        <w:t xml:space="preserve"> millones y </w:t>
      </w:r>
      <w:r w:rsidR="00EF40E3">
        <w:rPr>
          <w:rFonts w:ascii="Candara" w:hAnsi="Candara" w:cs="Arial"/>
          <w:iCs/>
          <w:sz w:val="24"/>
          <w:szCs w:val="24"/>
          <w:lang w:val="es-SV"/>
        </w:rPr>
        <w:t xml:space="preserve">una reducción en </w:t>
      </w:r>
      <w:r w:rsidR="004C7832">
        <w:rPr>
          <w:rFonts w:ascii="Candara" w:hAnsi="Candara" w:cs="Arial"/>
          <w:iCs/>
          <w:sz w:val="24"/>
          <w:szCs w:val="24"/>
          <w:lang w:val="es-SV"/>
        </w:rPr>
        <w:t xml:space="preserve">las </w:t>
      </w:r>
      <w:r w:rsidR="00C2656E">
        <w:rPr>
          <w:rFonts w:ascii="Candara" w:hAnsi="Candara" w:cs="Arial"/>
          <w:iCs/>
          <w:sz w:val="24"/>
          <w:szCs w:val="24"/>
          <w:lang w:val="es-SV"/>
        </w:rPr>
        <w:t>E</w:t>
      </w:r>
      <w:r w:rsidR="004C7832">
        <w:rPr>
          <w:rFonts w:ascii="Candara" w:hAnsi="Candara" w:cs="Arial"/>
          <w:iCs/>
          <w:sz w:val="24"/>
          <w:szCs w:val="24"/>
          <w:lang w:val="es-SV"/>
        </w:rPr>
        <w:t xml:space="preserve">mpresas </w:t>
      </w:r>
      <w:r w:rsidR="00C2656E">
        <w:rPr>
          <w:rFonts w:ascii="Candara" w:hAnsi="Candara" w:cs="Arial"/>
          <w:iCs/>
          <w:sz w:val="24"/>
          <w:szCs w:val="24"/>
          <w:lang w:val="es-SV"/>
        </w:rPr>
        <w:t>P</w:t>
      </w:r>
      <w:r w:rsidR="004C7832">
        <w:rPr>
          <w:rFonts w:ascii="Candara" w:hAnsi="Candara" w:cs="Arial"/>
          <w:iCs/>
          <w:sz w:val="24"/>
          <w:szCs w:val="24"/>
          <w:lang w:val="es-SV"/>
        </w:rPr>
        <w:t xml:space="preserve">úblicas </w:t>
      </w:r>
      <w:r w:rsidR="00F71F6D">
        <w:rPr>
          <w:rFonts w:ascii="Candara" w:hAnsi="Candara" w:cs="Arial"/>
          <w:iCs/>
          <w:sz w:val="24"/>
          <w:szCs w:val="24"/>
          <w:lang w:val="es-SV"/>
        </w:rPr>
        <w:t>N</w:t>
      </w:r>
      <w:r w:rsidR="004C7832">
        <w:rPr>
          <w:rFonts w:ascii="Candara" w:hAnsi="Candara" w:cs="Arial"/>
          <w:iCs/>
          <w:sz w:val="24"/>
          <w:szCs w:val="24"/>
          <w:lang w:val="es-SV"/>
        </w:rPr>
        <w:t xml:space="preserve">o </w:t>
      </w:r>
      <w:r w:rsidR="00C2656E">
        <w:rPr>
          <w:rFonts w:ascii="Candara" w:hAnsi="Candara" w:cs="Arial"/>
          <w:iCs/>
          <w:sz w:val="24"/>
          <w:szCs w:val="24"/>
          <w:lang w:val="es-SV"/>
        </w:rPr>
        <w:t>F</w:t>
      </w:r>
      <w:r w:rsidR="004C7832">
        <w:rPr>
          <w:rFonts w:ascii="Candara" w:hAnsi="Candara" w:cs="Arial"/>
          <w:iCs/>
          <w:sz w:val="24"/>
          <w:szCs w:val="24"/>
          <w:lang w:val="es-SV"/>
        </w:rPr>
        <w:t>inancieras</w:t>
      </w:r>
      <w:r w:rsidR="00C2656E">
        <w:rPr>
          <w:rFonts w:ascii="Candara" w:hAnsi="Candara" w:cs="Arial"/>
          <w:iCs/>
          <w:sz w:val="24"/>
          <w:szCs w:val="24"/>
          <w:lang w:val="es-SV"/>
        </w:rPr>
        <w:t>,</w:t>
      </w:r>
      <w:r w:rsidR="004C7832">
        <w:rPr>
          <w:rFonts w:ascii="Candara" w:hAnsi="Candara" w:cs="Arial"/>
          <w:iCs/>
          <w:sz w:val="24"/>
          <w:szCs w:val="24"/>
          <w:lang w:val="es-SV"/>
        </w:rPr>
        <w:t xml:space="preserve"> </w:t>
      </w:r>
      <w:r w:rsidR="00EF40E3">
        <w:rPr>
          <w:rFonts w:ascii="Candara" w:hAnsi="Candara" w:cs="Arial"/>
          <w:iCs/>
          <w:sz w:val="24"/>
          <w:szCs w:val="24"/>
          <w:lang w:val="es-SV"/>
        </w:rPr>
        <w:t xml:space="preserve">por </w:t>
      </w:r>
      <w:r w:rsidR="004C7832">
        <w:rPr>
          <w:rFonts w:ascii="Candara" w:hAnsi="Candara" w:cs="Arial"/>
          <w:iCs/>
          <w:sz w:val="24"/>
          <w:szCs w:val="24"/>
          <w:lang w:val="es-SV"/>
        </w:rPr>
        <w:t>$</w:t>
      </w:r>
      <w:r w:rsidR="002053D6">
        <w:rPr>
          <w:rFonts w:ascii="Candara" w:hAnsi="Candara" w:cs="Arial"/>
          <w:iCs/>
          <w:sz w:val="24"/>
          <w:szCs w:val="24"/>
          <w:lang w:val="es-SV"/>
        </w:rPr>
        <w:t>6.</w:t>
      </w:r>
      <w:r w:rsidR="003502E8">
        <w:rPr>
          <w:rFonts w:ascii="Candara" w:hAnsi="Candara" w:cs="Arial"/>
          <w:iCs/>
          <w:sz w:val="24"/>
          <w:szCs w:val="24"/>
          <w:lang w:val="es-SV"/>
        </w:rPr>
        <w:t>9</w:t>
      </w:r>
      <w:r w:rsidR="004C7832">
        <w:rPr>
          <w:rFonts w:ascii="Candara" w:hAnsi="Candara" w:cs="Arial"/>
          <w:iCs/>
          <w:sz w:val="24"/>
          <w:szCs w:val="24"/>
          <w:lang w:val="es-SV"/>
        </w:rPr>
        <w:t xml:space="preserve"> millones</w:t>
      </w:r>
      <w:r w:rsidRPr="00A975D8">
        <w:rPr>
          <w:rFonts w:ascii="Candara" w:hAnsi="Candara" w:cs="Arial"/>
          <w:iCs/>
          <w:sz w:val="24"/>
          <w:szCs w:val="24"/>
          <w:lang w:val="es-419"/>
        </w:rPr>
        <w:t>.</w:t>
      </w:r>
    </w:p>
    <w:bookmarkEnd w:id="16"/>
    <w:bookmarkEnd w:id="17"/>
    <w:bookmarkEnd w:id="18"/>
    <w:p w:rsidR="00C75E6A" w:rsidRDefault="00C75E6A" w:rsidP="009B117C">
      <w:pPr>
        <w:pStyle w:val="Heading2"/>
        <w:rPr>
          <w:rFonts w:ascii="Candara" w:hAnsi="Candara"/>
          <w:b/>
          <w:sz w:val="24"/>
          <w:szCs w:val="24"/>
          <w:lang w:val="es-MX"/>
        </w:rPr>
      </w:pPr>
    </w:p>
    <w:p w:rsidR="00C75E6A" w:rsidRDefault="00C75E6A" w:rsidP="009B117C">
      <w:pPr>
        <w:pStyle w:val="Heading2"/>
        <w:rPr>
          <w:rFonts w:ascii="Candara" w:hAnsi="Candara"/>
          <w:b/>
          <w:sz w:val="24"/>
          <w:szCs w:val="24"/>
          <w:lang w:val="es-MX"/>
        </w:rPr>
      </w:pPr>
    </w:p>
    <w:p w:rsidR="00BE54F5" w:rsidRPr="00D149E7" w:rsidRDefault="00442DE5" w:rsidP="009B117C">
      <w:pPr>
        <w:pStyle w:val="Heading2"/>
        <w:rPr>
          <w:rFonts w:ascii="Candara" w:hAnsi="Candara"/>
          <w:b/>
          <w:sz w:val="24"/>
          <w:szCs w:val="24"/>
          <w:lang w:val="es-MX"/>
        </w:rPr>
      </w:pPr>
      <w:r w:rsidRPr="00D149E7">
        <w:rPr>
          <w:rFonts w:ascii="Candara" w:hAnsi="Candara"/>
          <w:b/>
          <w:sz w:val="24"/>
          <w:szCs w:val="24"/>
          <w:lang w:val="es-MX"/>
        </w:rPr>
        <w:t xml:space="preserve"> </w:t>
      </w:r>
      <w:bookmarkStart w:id="33" w:name="_Toc56581208"/>
      <w:bookmarkStart w:id="34" w:name="_Toc64531473"/>
      <w:r w:rsidR="009B117C" w:rsidRPr="00D149E7">
        <w:rPr>
          <w:rFonts w:ascii="Candara" w:hAnsi="Candara"/>
          <w:b/>
          <w:sz w:val="24"/>
          <w:szCs w:val="24"/>
          <w:lang w:val="es-MX"/>
        </w:rPr>
        <w:t xml:space="preserve">1.3 </w:t>
      </w:r>
      <w:r w:rsidR="00BE54F5" w:rsidRPr="00D149E7">
        <w:rPr>
          <w:rFonts w:ascii="Candara" w:hAnsi="Candara"/>
          <w:b/>
          <w:sz w:val="24"/>
          <w:szCs w:val="24"/>
          <w:lang w:val="es-MX"/>
        </w:rPr>
        <w:t xml:space="preserve">Las Empresas Públicas </w:t>
      </w:r>
      <w:r w:rsidR="00F71F6D">
        <w:rPr>
          <w:rFonts w:ascii="Candara" w:hAnsi="Candara"/>
          <w:b/>
          <w:sz w:val="24"/>
          <w:szCs w:val="24"/>
          <w:lang w:val="es-MX"/>
        </w:rPr>
        <w:t>N</w:t>
      </w:r>
      <w:r w:rsidR="00BE54F5" w:rsidRPr="00D149E7">
        <w:rPr>
          <w:rFonts w:ascii="Candara" w:hAnsi="Candara"/>
          <w:b/>
          <w:sz w:val="24"/>
          <w:szCs w:val="24"/>
          <w:lang w:val="es-MX"/>
        </w:rPr>
        <w:t>o Financieras</w:t>
      </w:r>
      <w:bookmarkEnd w:id="33"/>
      <w:bookmarkEnd w:id="34"/>
      <w:r w:rsidR="00BE54F5" w:rsidRPr="00D149E7">
        <w:rPr>
          <w:rFonts w:ascii="Candara" w:hAnsi="Candara"/>
          <w:b/>
          <w:sz w:val="24"/>
          <w:szCs w:val="24"/>
          <w:lang w:val="es-MX"/>
        </w:rPr>
        <w:t xml:space="preserve"> </w:t>
      </w:r>
    </w:p>
    <w:p w:rsidR="00BE54F5" w:rsidRPr="00EC1B2B" w:rsidRDefault="00BE54F5" w:rsidP="00BE54F5">
      <w:pPr>
        <w:jc w:val="both"/>
        <w:rPr>
          <w:rFonts w:ascii="Candara" w:hAnsi="Candara"/>
          <w:sz w:val="16"/>
          <w:szCs w:val="16"/>
          <w:lang w:val="es-MX"/>
        </w:rPr>
      </w:pPr>
    </w:p>
    <w:p w:rsidR="0086207C" w:rsidRPr="00E55B9B" w:rsidRDefault="0011125B" w:rsidP="002053D6">
      <w:pPr>
        <w:ind w:right="-32"/>
        <w:jc w:val="both"/>
        <w:rPr>
          <w:rFonts w:ascii="Candara" w:hAnsi="Candara" w:cs="Arial"/>
          <w:noProof/>
          <w:sz w:val="24"/>
          <w:szCs w:val="24"/>
          <w:lang w:val="es-SV"/>
        </w:rPr>
      </w:pPr>
      <w:bookmarkStart w:id="35" w:name="_Toc308681665"/>
      <w:bookmarkStart w:id="36" w:name="_Toc319049211"/>
      <w:bookmarkStart w:id="37" w:name="_Toc411843463"/>
      <w:r w:rsidRPr="0011125B">
        <w:rPr>
          <w:rFonts w:ascii="Candara" w:hAnsi="Candara" w:cs="Arial"/>
          <w:noProof/>
          <w:sz w:val="24"/>
          <w:szCs w:val="24"/>
          <w:lang w:val="es-SV"/>
        </w:rPr>
        <w:t>Por otra parte las Empresas Públicas No Financieras presentan un superavit de operación de $83.0 millones, con una disminución de $40.6 millones con respecto a diciembre 2019, el resultado obedece a la disminución de Ingresos de Operación y los Gastos de Operación, de $110.9 millones y $70.3 millones, respectivamente</w:t>
      </w:r>
      <w:r>
        <w:rPr>
          <w:rFonts w:ascii="Arial" w:hAnsi="Arial" w:cs="Arial"/>
          <w:i/>
          <w:iCs/>
          <w:sz w:val="22"/>
          <w:szCs w:val="22"/>
        </w:rPr>
        <w:t>.</w:t>
      </w:r>
    </w:p>
    <w:p w:rsidR="00533E72" w:rsidRPr="002053D6" w:rsidRDefault="00533E72" w:rsidP="00533E72">
      <w:pPr>
        <w:ind w:right="-32"/>
        <w:jc w:val="both"/>
        <w:rPr>
          <w:rFonts w:ascii="Candara" w:hAnsi="Candara" w:cs="Arial"/>
          <w:noProof/>
          <w:sz w:val="24"/>
          <w:szCs w:val="24"/>
        </w:rPr>
      </w:pPr>
    </w:p>
    <w:p w:rsidR="00BE54F5" w:rsidRPr="00DD424A" w:rsidRDefault="00BF745F" w:rsidP="009B117C">
      <w:pPr>
        <w:pStyle w:val="Heading2"/>
        <w:rPr>
          <w:rFonts w:ascii="Candara" w:hAnsi="Candara"/>
          <w:b/>
          <w:sz w:val="24"/>
          <w:szCs w:val="24"/>
          <w:lang w:val="es-MX"/>
        </w:rPr>
      </w:pPr>
      <w:bookmarkStart w:id="38" w:name="_Toc56581209"/>
      <w:bookmarkStart w:id="39" w:name="_Toc64531474"/>
      <w:r w:rsidRPr="00DD424A">
        <w:rPr>
          <w:rFonts w:ascii="Candara" w:hAnsi="Candara"/>
          <w:b/>
          <w:sz w:val="24"/>
          <w:szCs w:val="24"/>
          <w:lang w:val="es-MX"/>
        </w:rPr>
        <w:t>1</w:t>
      </w:r>
      <w:r w:rsidR="009B117C" w:rsidRPr="00DD424A">
        <w:rPr>
          <w:rFonts w:ascii="Candara" w:hAnsi="Candara"/>
          <w:b/>
          <w:sz w:val="24"/>
          <w:szCs w:val="24"/>
          <w:lang w:val="es-MX"/>
        </w:rPr>
        <w:t xml:space="preserve">.4 </w:t>
      </w:r>
      <w:r w:rsidR="00BE54F5" w:rsidRPr="00DD424A">
        <w:rPr>
          <w:rFonts w:ascii="Candara" w:hAnsi="Candara"/>
          <w:b/>
          <w:sz w:val="24"/>
          <w:szCs w:val="24"/>
          <w:lang w:val="es-MX"/>
        </w:rPr>
        <w:t>Donaciones</w:t>
      </w:r>
      <w:bookmarkEnd w:id="35"/>
      <w:bookmarkEnd w:id="36"/>
      <w:bookmarkEnd w:id="37"/>
      <w:bookmarkEnd w:id="38"/>
      <w:bookmarkEnd w:id="39"/>
    </w:p>
    <w:p w:rsidR="00BE54F5" w:rsidRPr="007F50E2" w:rsidRDefault="00BE54F5" w:rsidP="004A685A">
      <w:pPr>
        <w:jc w:val="both"/>
        <w:rPr>
          <w:rFonts w:ascii="Candara" w:hAnsi="Candara"/>
          <w:sz w:val="16"/>
          <w:szCs w:val="16"/>
          <w:lang w:val="es-MX"/>
        </w:rPr>
      </w:pPr>
    </w:p>
    <w:p w:rsidR="0011125B" w:rsidRPr="0011125B" w:rsidRDefault="0011125B" w:rsidP="0011125B">
      <w:pPr>
        <w:ind w:right="-32"/>
        <w:jc w:val="both"/>
        <w:rPr>
          <w:rFonts w:ascii="Candara" w:hAnsi="Candara" w:cs="Arial"/>
          <w:noProof/>
          <w:sz w:val="24"/>
          <w:szCs w:val="24"/>
          <w:lang w:val="es-SV"/>
        </w:rPr>
      </w:pPr>
      <w:bookmarkStart w:id="40" w:name="_Toc411843464"/>
      <w:bookmarkStart w:id="41" w:name="_Toc505951456"/>
      <w:r w:rsidRPr="0011125B">
        <w:rPr>
          <w:rFonts w:ascii="Candara" w:hAnsi="Candara" w:cs="Arial"/>
          <w:noProof/>
          <w:sz w:val="24"/>
          <w:szCs w:val="24"/>
          <w:lang w:val="es-SV"/>
        </w:rPr>
        <w:t>Finalmente, las donaciones registraron un total de $127.1 millones, incrementándose con respecto al año anterior en $10.6 millones. El valor mencionado se compone principalmente por la ejecución de los proyectos de FOMILENIO el cual al mes de diciembre reporta $99.6 millones, el Gobierno Central $13.4 millones, y SETEFE reporta $11.9 millones, el resto se distribuye en FISDL y Resto de Gobierno General.</w:t>
      </w:r>
    </w:p>
    <w:p w:rsidR="00080BF7" w:rsidRPr="0011125B" w:rsidRDefault="00080BF7" w:rsidP="00080BF7"/>
    <w:p w:rsidR="00BE54F5" w:rsidRDefault="00AA7D08" w:rsidP="00D834F7">
      <w:pPr>
        <w:pStyle w:val="Heading3"/>
        <w:rPr>
          <w:rFonts w:ascii="Candara" w:hAnsi="Candara"/>
          <w:lang w:val="es-MX"/>
        </w:rPr>
      </w:pPr>
      <w:bookmarkStart w:id="42" w:name="_Toc56581210"/>
      <w:bookmarkStart w:id="43" w:name="_Toc64531475"/>
      <w:r w:rsidRPr="00D834F7">
        <w:rPr>
          <w:rFonts w:ascii="Candara" w:hAnsi="Candara"/>
          <w:b/>
          <w:lang w:val="es-MX"/>
        </w:rPr>
        <w:t>2</w:t>
      </w:r>
      <w:r w:rsidR="009B117C" w:rsidRPr="00D834F7">
        <w:rPr>
          <w:rFonts w:ascii="Candara" w:hAnsi="Candara"/>
          <w:b/>
          <w:lang w:val="es-MX"/>
        </w:rPr>
        <w:t xml:space="preserve">. </w:t>
      </w:r>
      <w:r w:rsidR="00BE54F5" w:rsidRPr="00D834F7">
        <w:rPr>
          <w:rFonts w:ascii="Candara" w:hAnsi="Candara"/>
          <w:b/>
          <w:lang w:val="es-MX"/>
        </w:rPr>
        <w:t>Gasto</w:t>
      </w:r>
      <w:r w:rsidR="007B1E8F" w:rsidRPr="00D834F7">
        <w:rPr>
          <w:rFonts w:ascii="Candara" w:hAnsi="Candara"/>
          <w:b/>
          <w:lang w:val="es-MX"/>
        </w:rPr>
        <w:t>s</w:t>
      </w:r>
      <w:r w:rsidR="00BE54F5" w:rsidRPr="00D834F7">
        <w:rPr>
          <w:rFonts w:ascii="Candara" w:hAnsi="Candara"/>
          <w:b/>
          <w:lang w:val="es-MX"/>
        </w:rPr>
        <w:t xml:space="preserve"> del Sector Público No Financiero</w:t>
      </w:r>
      <w:bookmarkEnd w:id="40"/>
      <w:bookmarkEnd w:id="41"/>
      <w:bookmarkEnd w:id="42"/>
      <w:r w:rsidR="00B2286A" w:rsidRPr="007F50E2">
        <w:rPr>
          <w:rFonts w:ascii="Candara" w:hAnsi="Candara"/>
          <w:lang w:val="es-MX"/>
        </w:rPr>
        <w:t xml:space="preserve"> </w:t>
      </w:r>
      <w:r w:rsidR="00996C7C">
        <w:rPr>
          <w:rFonts w:ascii="Candara" w:hAnsi="Candara"/>
          <w:lang w:val="es-MX"/>
        </w:rPr>
        <w:t>(ver anexo 1</w:t>
      </w:r>
      <w:r w:rsidR="00404593">
        <w:rPr>
          <w:rFonts w:ascii="Candara" w:hAnsi="Candara"/>
          <w:lang w:val="es-MX"/>
        </w:rPr>
        <w:t xml:space="preserve"> y 2</w:t>
      </w:r>
      <w:r w:rsidR="00996C7C">
        <w:rPr>
          <w:rFonts w:ascii="Candara" w:hAnsi="Candara"/>
          <w:lang w:val="es-MX"/>
        </w:rPr>
        <w:t>)</w:t>
      </w:r>
      <w:bookmarkEnd w:id="43"/>
    </w:p>
    <w:p w:rsidR="00F87661" w:rsidRPr="00F87661" w:rsidRDefault="00F87661" w:rsidP="00F87661">
      <w:pPr>
        <w:rPr>
          <w:lang w:val="es-MX"/>
        </w:rPr>
      </w:pPr>
    </w:p>
    <w:p w:rsidR="009D513A" w:rsidRDefault="009D513A" w:rsidP="009D513A">
      <w:pPr>
        <w:ind w:right="-32"/>
        <w:jc w:val="both"/>
        <w:rPr>
          <w:rFonts w:ascii="Candara" w:hAnsi="Candara" w:cs="Arial"/>
          <w:iCs/>
          <w:strike/>
          <w:sz w:val="24"/>
          <w:szCs w:val="24"/>
          <w:lang w:val="es-MX"/>
        </w:rPr>
      </w:pPr>
      <w:r w:rsidRPr="007F50E2">
        <w:rPr>
          <w:rFonts w:ascii="Candara" w:hAnsi="Candara" w:cs="Arial"/>
          <w:iCs/>
          <w:sz w:val="24"/>
          <w:szCs w:val="24"/>
          <w:lang w:val="es-MX"/>
        </w:rPr>
        <w:t xml:space="preserve">La ejecución del gasto total del SPNF al </w:t>
      </w:r>
      <w:r w:rsidR="002B0B6C">
        <w:rPr>
          <w:rFonts w:ascii="Candara" w:hAnsi="Candara" w:cs="Arial"/>
          <w:iCs/>
          <w:sz w:val="24"/>
          <w:szCs w:val="24"/>
          <w:lang w:val="es-MX"/>
        </w:rPr>
        <w:t>cierre</w:t>
      </w:r>
      <w:r w:rsidR="00804CE7">
        <w:rPr>
          <w:rFonts w:ascii="Candara" w:hAnsi="Candara" w:cs="Arial"/>
          <w:iCs/>
          <w:sz w:val="24"/>
          <w:szCs w:val="24"/>
          <w:lang w:val="es-MX"/>
        </w:rPr>
        <w:t xml:space="preserve"> </w:t>
      </w:r>
      <w:r w:rsidRPr="007F50E2">
        <w:rPr>
          <w:rFonts w:ascii="Candara" w:hAnsi="Candara" w:cs="Arial"/>
          <w:iCs/>
          <w:sz w:val="24"/>
          <w:szCs w:val="24"/>
          <w:lang w:val="es-MX"/>
        </w:rPr>
        <w:t xml:space="preserve">de </w:t>
      </w:r>
      <w:r w:rsidR="00042C94">
        <w:rPr>
          <w:rFonts w:ascii="Candara" w:hAnsi="Candara" w:cs="Arial"/>
          <w:iCs/>
          <w:sz w:val="24"/>
          <w:szCs w:val="24"/>
          <w:lang w:val="es-MX"/>
        </w:rPr>
        <w:t>20</w:t>
      </w:r>
      <w:r w:rsidR="006C3A52">
        <w:rPr>
          <w:rFonts w:ascii="Candara" w:hAnsi="Candara" w:cs="Arial"/>
          <w:iCs/>
          <w:sz w:val="24"/>
          <w:szCs w:val="24"/>
          <w:lang w:val="es-MX"/>
        </w:rPr>
        <w:t>20</w:t>
      </w:r>
      <w:r w:rsidRPr="007F50E2">
        <w:rPr>
          <w:rFonts w:ascii="Candara" w:hAnsi="Candara" w:cs="Arial"/>
          <w:iCs/>
          <w:sz w:val="24"/>
          <w:szCs w:val="24"/>
          <w:lang w:val="es-MX"/>
        </w:rPr>
        <w:t xml:space="preserve"> ascendió a $</w:t>
      </w:r>
      <w:r w:rsidRPr="007F50E2">
        <w:rPr>
          <w:rFonts w:ascii="Candara" w:hAnsi="Candara" w:cs="Arial"/>
          <w:iCs/>
          <w:sz w:val="24"/>
          <w:szCs w:val="24"/>
          <w:lang w:val="es-419"/>
        </w:rPr>
        <w:t xml:space="preserve"> </w:t>
      </w:r>
      <w:r w:rsidR="0081268E">
        <w:rPr>
          <w:rFonts w:ascii="Candara" w:hAnsi="Candara" w:cs="Arial"/>
          <w:iCs/>
          <w:sz w:val="24"/>
          <w:szCs w:val="24"/>
          <w:lang w:val="es-419"/>
        </w:rPr>
        <w:t>7,935.8</w:t>
      </w:r>
      <w:r w:rsidRPr="007F50E2">
        <w:rPr>
          <w:rFonts w:ascii="Candara" w:hAnsi="Candara" w:cs="Arial"/>
          <w:iCs/>
          <w:sz w:val="24"/>
          <w:szCs w:val="24"/>
          <w:lang w:val="es-MX"/>
        </w:rPr>
        <w:t xml:space="preserve"> millones, </w:t>
      </w:r>
      <w:r w:rsidRPr="007F50E2">
        <w:rPr>
          <w:rFonts w:ascii="Candara" w:hAnsi="Candara" w:cs="Arial"/>
          <w:iCs/>
          <w:sz w:val="24"/>
          <w:szCs w:val="24"/>
          <w:lang w:val="es-419"/>
        </w:rPr>
        <w:t>con un incremento de $</w:t>
      </w:r>
      <w:r w:rsidR="00BC599A">
        <w:rPr>
          <w:rFonts w:ascii="Candara" w:hAnsi="Candara" w:cs="Arial"/>
          <w:iCs/>
          <w:sz w:val="24"/>
          <w:szCs w:val="24"/>
          <w:lang w:val="es-419"/>
        </w:rPr>
        <w:t>1,</w:t>
      </w:r>
      <w:r w:rsidR="0081268E">
        <w:rPr>
          <w:rFonts w:ascii="Candara" w:hAnsi="Candara" w:cs="Arial"/>
          <w:iCs/>
          <w:sz w:val="24"/>
          <w:szCs w:val="24"/>
          <w:lang w:val="es-419"/>
        </w:rPr>
        <w:t>315.1</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en </w:t>
      </w:r>
      <w:r w:rsidR="00546F81" w:rsidRPr="007F50E2">
        <w:rPr>
          <w:rFonts w:ascii="Candara" w:hAnsi="Candara" w:cs="Arial"/>
          <w:iCs/>
          <w:sz w:val="24"/>
          <w:szCs w:val="24"/>
          <w:lang w:val="es-MX"/>
        </w:rPr>
        <w:t>relaci</w:t>
      </w:r>
      <w:r w:rsidR="00546F81">
        <w:rPr>
          <w:rFonts w:ascii="Candara" w:hAnsi="Candara" w:cs="Arial"/>
          <w:iCs/>
          <w:sz w:val="24"/>
          <w:szCs w:val="24"/>
          <w:lang w:val="es-MX"/>
        </w:rPr>
        <w:t>ón</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al mismo período del </w:t>
      </w:r>
      <w:r w:rsidRPr="007F50E2">
        <w:rPr>
          <w:rFonts w:ascii="Candara" w:hAnsi="Candara" w:cs="Arial"/>
          <w:iCs/>
          <w:sz w:val="24"/>
          <w:szCs w:val="24"/>
          <w:lang w:val="es-419"/>
        </w:rPr>
        <w:t>año</w:t>
      </w:r>
      <w:r w:rsidRPr="007F50E2">
        <w:rPr>
          <w:rFonts w:ascii="Candara" w:hAnsi="Candara" w:cs="Arial"/>
          <w:iCs/>
          <w:sz w:val="24"/>
          <w:szCs w:val="24"/>
          <w:lang w:val="es-MX"/>
        </w:rPr>
        <w:t xml:space="preserve"> anterior,</w:t>
      </w:r>
      <w:r w:rsidRPr="007F50E2">
        <w:rPr>
          <w:rFonts w:ascii="Candara" w:hAnsi="Candara" w:cs="Arial"/>
          <w:iCs/>
          <w:sz w:val="24"/>
          <w:szCs w:val="24"/>
          <w:lang w:val="es-419"/>
        </w:rPr>
        <w:t xml:space="preserve"> </w:t>
      </w:r>
      <w:r w:rsidRPr="007F50E2">
        <w:rPr>
          <w:rFonts w:ascii="Candara" w:hAnsi="Candara" w:cs="Arial"/>
          <w:iCs/>
          <w:sz w:val="24"/>
          <w:szCs w:val="24"/>
          <w:lang w:val="es-SV"/>
        </w:rPr>
        <w:t xml:space="preserve">como </w:t>
      </w:r>
      <w:r w:rsidRPr="007F50E2">
        <w:rPr>
          <w:rFonts w:ascii="Candara" w:hAnsi="Candara" w:cs="Arial"/>
          <w:iCs/>
          <w:sz w:val="24"/>
          <w:szCs w:val="24"/>
          <w:lang w:val="es-419"/>
        </w:rPr>
        <w:t xml:space="preserve">producto </w:t>
      </w:r>
      <w:r w:rsidR="00C443C1">
        <w:rPr>
          <w:rFonts w:ascii="Candara" w:hAnsi="Candara" w:cs="Arial"/>
          <w:iCs/>
          <w:sz w:val="24"/>
          <w:szCs w:val="24"/>
          <w:lang w:val="es-SV"/>
        </w:rPr>
        <w:t xml:space="preserve">básicamente </w:t>
      </w:r>
      <w:r w:rsidRPr="007F50E2">
        <w:rPr>
          <w:rFonts w:ascii="Candara" w:hAnsi="Candara" w:cs="Arial"/>
          <w:iCs/>
          <w:sz w:val="24"/>
          <w:szCs w:val="24"/>
          <w:lang w:val="es-419"/>
        </w:rPr>
        <w:t>de</w:t>
      </w:r>
      <w:r w:rsidRPr="007F50E2">
        <w:rPr>
          <w:rFonts w:ascii="Candara" w:hAnsi="Candara" w:cs="Arial"/>
          <w:iCs/>
          <w:sz w:val="24"/>
          <w:szCs w:val="24"/>
          <w:lang w:val="es-MX"/>
        </w:rPr>
        <w:t xml:space="preserve"> </w:t>
      </w:r>
      <w:r w:rsidR="00F71F6D">
        <w:rPr>
          <w:rFonts w:ascii="Candara" w:hAnsi="Candara" w:cs="Arial"/>
          <w:iCs/>
          <w:sz w:val="24"/>
          <w:szCs w:val="24"/>
          <w:lang w:val="es-MX"/>
        </w:rPr>
        <w:t xml:space="preserve">un efecto combinado de </w:t>
      </w:r>
      <w:r w:rsidRPr="007F50E2">
        <w:rPr>
          <w:rFonts w:ascii="Candara" w:hAnsi="Candara" w:cs="Arial"/>
          <w:iCs/>
          <w:sz w:val="24"/>
          <w:szCs w:val="24"/>
          <w:lang w:val="es-MX"/>
        </w:rPr>
        <w:t>aumento</w:t>
      </w:r>
      <w:r w:rsidRPr="007F50E2">
        <w:rPr>
          <w:rFonts w:ascii="Candara" w:hAnsi="Candara" w:cs="Arial"/>
          <w:iCs/>
          <w:sz w:val="24"/>
          <w:szCs w:val="24"/>
          <w:lang w:val="es-419"/>
        </w:rPr>
        <w:t>s</w:t>
      </w:r>
      <w:r w:rsidRPr="007F50E2">
        <w:rPr>
          <w:rFonts w:ascii="Candara" w:hAnsi="Candara" w:cs="Arial"/>
          <w:iCs/>
          <w:sz w:val="24"/>
          <w:szCs w:val="24"/>
          <w:lang w:val="es-MX"/>
        </w:rPr>
        <w:t xml:space="preserve"> </w:t>
      </w:r>
      <w:r w:rsidR="00804CE7">
        <w:rPr>
          <w:rFonts w:ascii="Candara" w:hAnsi="Candara" w:cs="Arial"/>
          <w:iCs/>
          <w:sz w:val="24"/>
          <w:szCs w:val="24"/>
          <w:lang w:val="es-MX"/>
        </w:rPr>
        <w:t xml:space="preserve">en los </w:t>
      </w:r>
      <w:r w:rsidRPr="007F50E2">
        <w:rPr>
          <w:rFonts w:ascii="Candara" w:hAnsi="Candara" w:cs="Arial"/>
          <w:iCs/>
          <w:sz w:val="24"/>
          <w:szCs w:val="24"/>
          <w:lang w:val="es-MX"/>
        </w:rPr>
        <w:t>gasto</w:t>
      </w:r>
      <w:r w:rsidR="00804CE7">
        <w:rPr>
          <w:rFonts w:ascii="Candara" w:hAnsi="Candara" w:cs="Arial"/>
          <w:iCs/>
          <w:sz w:val="24"/>
          <w:szCs w:val="24"/>
          <w:lang w:val="es-MX"/>
        </w:rPr>
        <w:t>s</w:t>
      </w:r>
      <w:r w:rsidRPr="007F50E2">
        <w:rPr>
          <w:rFonts w:ascii="Candara" w:hAnsi="Candara" w:cs="Arial"/>
          <w:iCs/>
          <w:sz w:val="24"/>
          <w:szCs w:val="24"/>
          <w:lang w:val="es-MX"/>
        </w:rPr>
        <w:t xml:space="preserve"> corriente</w:t>
      </w:r>
      <w:r w:rsidR="00804CE7">
        <w:rPr>
          <w:rFonts w:ascii="Candara" w:hAnsi="Candara" w:cs="Arial"/>
          <w:iCs/>
          <w:sz w:val="24"/>
          <w:szCs w:val="24"/>
          <w:lang w:val="es-MX"/>
        </w:rPr>
        <w:t>s</w:t>
      </w:r>
      <w:r w:rsidRPr="007F50E2">
        <w:rPr>
          <w:rFonts w:ascii="Candara" w:hAnsi="Candara" w:cs="Arial"/>
          <w:iCs/>
          <w:sz w:val="24"/>
          <w:szCs w:val="24"/>
          <w:lang w:val="es-MX"/>
        </w:rPr>
        <w:t xml:space="preserve"> de $</w:t>
      </w:r>
      <w:r w:rsidR="00BC599A">
        <w:rPr>
          <w:rFonts w:ascii="Candara" w:hAnsi="Candara" w:cs="Arial"/>
          <w:iCs/>
          <w:sz w:val="24"/>
          <w:szCs w:val="24"/>
          <w:lang w:val="es-MX"/>
        </w:rPr>
        <w:t>1,</w:t>
      </w:r>
      <w:r w:rsidR="0081268E">
        <w:rPr>
          <w:rFonts w:ascii="Candara" w:hAnsi="Candara" w:cs="Arial"/>
          <w:iCs/>
          <w:sz w:val="24"/>
          <w:szCs w:val="24"/>
          <w:lang w:val="es-MX"/>
        </w:rPr>
        <w:t>026.1</w:t>
      </w:r>
      <w:r w:rsidRPr="007F50E2">
        <w:rPr>
          <w:rFonts w:ascii="Candara" w:hAnsi="Candara" w:cs="Arial"/>
          <w:iCs/>
          <w:sz w:val="24"/>
          <w:szCs w:val="24"/>
          <w:lang w:val="es-419"/>
        </w:rPr>
        <w:t xml:space="preserve"> </w:t>
      </w:r>
      <w:r w:rsidRPr="007F50E2">
        <w:rPr>
          <w:rFonts w:ascii="Candara" w:hAnsi="Candara" w:cs="Arial"/>
          <w:iCs/>
          <w:sz w:val="24"/>
          <w:szCs w:val="24"/>
          <w:lang w:val="es-MX"/>
        </w:rPr>
        <w:t xml:space="preserve">millones y </w:t>
      </w:r>
      <w:r w:rsidR="00F87661">
        <w:rPr>
          <w:rFonts w:ascii="Candara" w:hAnsi="Candara" w:cs="Arial"/>
          <w:iCs/>
          <w:sz w:val="24"/>
          <w:szCs w:val="24"/>
          <w:lang w:val="es-MX"/>
        </w:rPr>
        <w:t>un</w:t>
      </w:r>
      <w:r w:rsidR="00391D10">
        <w:rPr>
          <w:rFonts w:ascii="Candara" w:hAnsi="Candara" w:cs="Arial"/>
          <w:iCs/>
          <w:sz w:val="24"/>
          <w:szCs w:val="24"/>
          <w:lang w:val="es-MX"/>
        </w:rPr>
        <w:t>a</w:t>
      </w:r>
      <w:r w:rsidR="007500E5">
        <w:rPr>
          <w:rFonts w:ascii="Candara" w:hAnsi="Candara" w:cs="Arial"/>
          <w:iCs/>
          <w:sz w:val="24"/>
          <w:szCs w:val="24"/>
          <w:lang w:val="es-MX"/>
        </w:rPr>
        <w:t xml:space="preserve"> </w:t>
      </w:r>
      <w:r w:rsidR="00391D10">
        <w:rPr>
          <w:rFonts w:ascii="Candara" w:hAnsi="Candara" w:cs="Arial"/>
          <w:iCs/>
          <w:sz w:val="24"/>
          <w:szCs w:val="24"/>
          <w:lang w:val="es-MX"/>
        </w:rPr>
        <w:t xml:space="preserve">reducción </w:t>
      </w:r>
      <w:r w:rsidR="00F87661">
        <w:rPr>
          <w:rFonts w:ascii="Candara" w:hAnsi="Candara" w:cs="Arial"/>
          <w:iCs/>
          <w:sz w:val="24"/>
          <w:szCs w:val="24"/>
          <w:lang w:val="es-MX"/>
        </w:rPr>
        <w:t>del gasto de capital</w:t>
      </w:r>
      <w:r w:rsidRPr="007F50E2">
        <w:rPr>
          <w:rFonts w:ascii="Candara" w:hAnsi="Candara" w:cs="Arial"/>
          <w:iCs/>
          <w:sz w:val="24"/>
          <w:szCs w:val="24"/>
          <w:lang w:val="es-419"/>
        </w:rPr>
        <w:t xml:space="preserve"> </w:t>
      </w:r>
      <w:r w:rsidRPr="007F50E2">
        <w:rPr>
          <w:rFonts w:ascii="Candara" w:hAnsi="Candara" w:cs="Arial"/>
          <w:iCs/>
          <w:sz w:val="24"/>
          <w:szCs w:val="24"/>
          <w:lang w:val="es-MX"/>
        </w:rPr>
        <w:t>de $</w:t>
      </w:r>
      <w:r w:rsidR="00BC599A">
        <w:rPr>
          <w:rFonts w:ascii="Candara" w:hAnsi="Candara" w:cs="Arial"/>
          <w:iCs/>
          <w:sz w:val="24"/>
          <w:szCs w:val="24"/>
          <w:lang w:val="es-MX"/>
        </w:rPr>
        <w:t>1</w:t>
      </w:r>
      <w:r w:rsidR="0081268E">
        <w:rPr>
          <w:rFonts w:ascii="Candara" w:hAnsi="Candara" w:cs="Arial"/>
          <w:iCs/>
          <w:sz w:val="24"/>
          <w:szCs w:val="24"/>
          <w:lang w:val="es-MX"/>
        </w:rPr>
        <w:t>71.1</w:t>
      </w:r>
      <w:r w:rsidR="007500E5">
        <w:rPr>
          <w:rFonts w:ascii="Candara" w:hAnsi="Candara" w:cs="Arial"/>
          <w:iCs/>
          <w:sz w:val="24"/>
          <w:szCs w:val="24"/>
          <w:lang w:val="es-MX"/>
        </w:rPr>
        <w:t xml:space="preserve"> </w:t>
      </w:r>
      <w:r w:rsidRPr="007F50E2">
        <w:rPr>
          <w:rFonts w:ascii="Candara" w:hAnsi="Candara" w:cs="Arial"/>
          <w:iCs/>
          <w:sz w:val="24"/>
          <w:szCs w:val="24"/>
          <w:lang w:val="es-MX"/>
        </w:rPr>
        <w:t xml:space="preserve">millones. </w:t>
      </w:r>
      <w:r w:rsidRPr="007F50E2">
        <w:rPr>
          <w:rFonts w:ascii="Candara" w:hAnsi="Candara" w:cs="Arial"/>
          <w:iCs/>
          <w:sz w:val="24"/>
          <w:szCs w:val="24"/>
          <w:lang w:val="es-419"/>
        </w:rPr>
        <w:t>El Gasto total representó e</w:t>
      </w:r>
      <w:r w:rsidRPr="007F50E2">
        <w:rPr>
          <w:rFonts w:ascii="Candara" w:hAnsi="Candara" w:cs="Arial"/>
          <w:iCs/>
          <w:sz w:val="24"/>
          <w:szCs w:val="24"/>
          <w:lang w:val="es-MX"/>
        </w:rPr>
        <w:t xml:space="preserve">n términos del PIB, </w:t>
      </w:r>
      <w:r w:rsidRPr="007F50E2">
        <w:rPr>
          <w:rFonts w:ascii="Candara" w:hAnsi="Candara" w:cs="Arial"/>
          <w:iCs/>
          <w:sz w:val="24"/>
          <w:szCs w:val="24"/>
          <w:lang w:val="es-419"/>
        </w:rPr>
        <w:t xml:space="preserve">un </w:t>
      </w:r>
      <w:r w:rsidR="0081268E">
        <w:rPr>
          <w:rFonts w:ascii="Candara" w:hAnsi="Candara" w:cs="Arial"/>
          <w:iCs/>
          <w:sz w:val="24"/>
          <w:szCs w:val="24"/>
          <w:lang w:val="es-419"/>
        </w:rPr>
        <w:t>31.4</w:t>
      </w:r>
      <w:r w:rsidRPr="007F50E2">
        <w:rPr>
          <w:rFonts w:ascii="Candara" w:hAnsi="Candara" w:cs="Arial"/>
          <w:iCs/>
          <w:sz w:val="24"/>
          <w:szCs w:val="24"/>
          <w:lang w:val="es-419"/>
        </w:rPr>
        <w:t>%</w:t>
      </w:r>
      <w:r w:rsidRPr="007F50E2">
        <w:rPr>
          <w:rFonts w:ascii="Candara" w:hAnsi="Candara" w:cs="Arial"/>
          <w:iCs/>
          <w:sz w:val="24"/>
          <w:szCs w:val="24"/>
          <w:lang w:val="es-MX"/>
        </w:rPr>
        <w:t xml:space="preserve">, </w:t>
      </w:r>
      <w:r w:rsidR="001910E2">
        <w:rPr>
          <w:rFonts w:ascii="Candara" w:hAnsi="Candara" w:cs="Arial"/>
          <w:iCs/>
          <w:sz w:val="24"/>
          <w:szCs w:val="24"/>
          <w:lang w:val="es-SV"/>
        </w:rPr>
        <w:t>mayor</w:t>
      </w:r>
      <w:r w:rsidR="00F87661">
        <w:rPr>
          <w:rFonts w:ascii="Candara" w:hAnsi="Candara" w:cs="Arial"/>
          <w:iCs/>
          <w:sz w:val="24"/>
          <w:szCs w:val="24"/>
          <w:lang w:val="es-SV"/>
        </w:rPr>
        <w:t xml:space="preserve"> </w:t>
      </w:r>
      <w:r w:rsidRPr="007F50E2">
        <w:rPr>
          <w:rFonts w:ascii="Candara" w:hAnsi="Candara" w:cs="Arial"/>
          <w:iCs/>
          <w:sz w:val="24"/>
          <w:szCs w:val="24"/>
          <w:lang w:val="es-MX"/>
        </w:rPr>
        <w:t xml:space="preserve">en </w:t>
      </w:r>
      <w:r w:rsidR="0081268E">
        <w:rPr>
          <w:rFonts w:ascii="Candara" w:hAnsi="Candara" w:cs="Arial"/>
          <w:iCs/>
          <w:sz w:val="24"/>
          <w:szCs w:val="24"/>
          <w:lang w:val="es-MX"/>
        </w:rPr>
        <w:t>6.9</w:t>
      </w:r>
      <w:r w:rsidR="00546F81">
        <w:rPr>
          <w:rFonts w:ascii="Candara" w:hAnsi="Candara" w:cs="Arial"/>
          <w:iCs/>
          <w:sz w:val="24"/>
          <w:szCs w:val="24"/>
          <w:lang w:val="es-MX"/>
        </w:rPr>
        <w:t>%</w:t>
      </w:r>
      <w:r w:rsidRPr="007F50E2">
        <w:rPr>
          <w:rFonts w:ascii="Candara" w:hAnsi="Candara" w:cs="Arial"/>
          <w:iCs/>
          <w:sz w:val="24"/>
          <w:szCs w:val="24"/>
          <w:lang w:val="es-MX"/>
        </w:rPr>
        <w:t xml:space="preserve"> al resultado obtenido </w:t>
      </w:r>
      <w:r w:rsidR="00804CE7">
        <w:rPr>
          <w:rFonts w:ascii="Candara" w:hAnsi="Candara" w:cs="Arial"/>
          <w:iCs/>
          <w:sz w:val="24"/>
          <w:szCs w:val="24"/>
          <w:lang w:val="es-MX"/>
        </w:rPr>
        <w:t>d</w:t>
      </w:r>
      <w:r w:rsidRPr="007F50E2">
        <w:rPr>
          <w:rFonts w:ascii="Candara" w:hAnsi="Candara" w:cs="Arial"/>
          <w:iCs/>
          <w:sz w:val="24"/>
          <w:szCs w:val="24"/>
          <w:lang w:val="es-MX"/>
        </w:rPr>
        <w:t>el año anterior</w:t>
      </w:r>
      <w:r w:rsidRPr="007F50E2">
        <w:rPr>
          <w:rFonts w:ascii="Candara" w:hAnsi="Candara" w:cs="Arial"/>
          <w:iCs/>
          <w:sz w:val="24"/>
          <w:szCs w:val="24"/>
          <w:lang w:val="es-419"/>
        </w:rPr>
        <w:t>.</w:t>
      </w:r>
      <w:r w:rsidRPr="007F50E2">
        <w:rPr>
          <w:rFonts w:ascii="Candara" w:hAnsi="Candara" w:cs="Arial"/>
          <w:iCs/>
          <w:strike/>
          <w:sz w:val="24"/>
          <w:szCs w:val="24"/>
          <w:lang w:val="es-MX"/>
        </w:rPr>
        <w:t xml:space="preserve"> </w:t>
      </w:r>
    </w:p>
    <w:p w:rsidR="00694FC2" w:rsidRPr="007F50E2" w:rsidRDefault="00694FC2" w:rsidP="009D513A">
      <w:pPr>
        <w:ind w:right="-32"/>
        <w:jc w:val="both"/>
        <w:rPr>
          <w:rFonts w:ascii="Candara" w:hAnsi="Candara" w:cs="Arial"/>
          <w:iCs/>
          <w:strike/>
          <w:sz w:val="24"/>
          <w:szCs w:val="24"/>
          <w:lang w:val="es-419"/>
        </w:rPr>
      </w:pPr>
    </w:p>
    <w:p w:rsidR="007E3EC1" w:rsidRPr="007F50E2" w:rsidRDefault="007E3EC1" w:rsidP="004A685A">
      <w:pPr>
        <w:jc w:val="both"/>
        <w:rPr>
          <w:rFonts w:ascii="Candara" w:hAnsi="Candara"/>
          <w:sz w:val="16"/>
          <w:szCs w:val="16"/>
          <w:lang w:val="es-MX"/>
        </w:rPr>
      </w:pPr>
    </w:p>
    <w:p w:rsidR="00A25034" w:rsidRDefault="00BE54F5" w:rsidP="00A25034">
      <w:pPr>
        <w:jc w:val="center"/>
        <w:rPr>
          <w:rFonts w:ascii="Candara" w:hAnsi="Candara"/>
          <w:sz w:val="24"/>
          <w:szCs w:val="24"/>
          <w:lang w:val="es-MX"/>
        </w:rPr>
      </w:pPr>
      <w:r w:rsidRPr="007F50E2">
        <w:rPr>
          <w:rFonts w:ascii="Candara" w:hAnsi="Candara"/>
          <w:sz w:val="24"/>
          <w:szCs w:val="24"/>
          <w:lang w:val="es-MX"/>
        </w:rPr>
        <w:t xml:space="preserve">Gráfico </w:t>
      </w:r>
      <w:r w:rsidR="00CF53B4">
        <w:rPr>
          <w:rFonts w:ascii="Candara" w:hAnsi="Candara"/>
          <w:sz w:val="24"/>
          <w:szCs w:val="24"/>
          <w:lang w:val="es-MX"/>
        </w:rPr>
        <w:t>5</w:t>
      </w:r>
      <w:r w:rsidR="00A25034" w:rsidRPr="007F50E2">
        <w:rPr>
          <w:rFonts w:ascii="Candara" w:hAnsi="Candara"/>
          <w:sz w:val="24"/>
          <w:szCs w:val="24"/>
          <w:lang w:val="es-MX"/>
        </w:rPr>
        <w:t xml:space="preserve">: Evolución del </w:t>
      </w:r>
      <w:r w:rsidR="00167CCD">
        <w:rPr>
          <w:rFonts w:ascii="Candara" w:hAnsi="Candara"/>
          <w:sz w:val="24"/>
          <w:szCs w:val="24"/>
          <w:lang w:val="es-MX"/>
        </w:rPr>
        <w:t>G</w:t>
      </w:r>
      <w:r w:rsidR="00A25034" w:rsidRPr="007F50E2">
        <w:rPr>
          <w:rFonts w:ascii="Candara" w:hAnsi="Candara"/>
          <w:sz w:val="24"/>
          <w:szCs w:val="24"/>
          <w:lang w:val="es-MX"/>
        </w:rPr>
        <w:t xml:space="preserve">asto </w:t>
      </w:r>
      <w:r w:rsidR="00167CCD">
        <w:rPr>
          <w:rFonts w:ascii="Candara" w:hAnsi="Candara"/>
          <w:sz w:val="24"/>
          <w:szCs w:val="24"/>
          <w:lang w:val="es-MX"/>
        </w:rPr>
        <w:t>P</w:t>
      </w:r>
      <w:r w:rsidR="00A25034" w:rsidRPr="007F50E2">
        <w:rPr>
          <w:rFonts w:ascii="Candara" w:hAnsi="Candara"/>
          <w:sz w:val="24"/>
          <w:szCs w:val="24"/>
          <w:lang w:val="es-MX"/>
        </w:rPr>
        <w:t xml:space="preserve">úblico </w:t>
      </w:r>
      <w:r w:rsidR="00167CCD">
        <w:rPr>
          <w:rFonts w:ascii="Candara" w:hAnsi="Candara"/>
          <w:sz w:val="24"/>
          <w:szCs w:val="24"/>
          <w:lang w:val="es-MX"/>
        </w:rPr>
        <w:t>T</w:t>
      </w:r>
      <w:r w:rsidR="00A25034" w:rsidRPr="007F50E2">
        <w:rPr>
          <w:rFonts w:ascii="Candara" w:hAnsi="Candara"/>
          <w:sz w:val="24"/>
          <w:szCs w:val="24"/>
          <w:lang w:val="es-MX"/>
        </w:rPr>
        <w:t xml:space="preserve">otal del SPNF a </w:t>
      </w:r>
      <w:r w:rsidR="006854AC">
        <w:rPr>
          <w:rFonts w:ascii="Candara" w:hAnsi="Candara"/>
          <w:sz w:val="24"/>
          <w:szCs w:val="24"/>
          <w:lang w:val="es-MX"/>
        </w:rPr>
        <w:t>diciembre</w:t>
      </w:r>
      <w:r w:rsidR="00A25034" w:rsidRPr="007F50E2">
        <w:rPr>
          <w:rFonts w:ascii="Candara" w:hAnsi="Candara"/>
          <w:sz w:val="24"/>
          <w:szCs w:val="24"/>
          <w:lang w:val="es-MX"/>
        </w:rPr>
        <w:t xml:space="preserve"> 20</w:t>
      </w:r>
      <w:r w:rsidR="00714B06">
        <w:rPr>
          <w:rFonts w:ascii="Candara" w:hAnsi="Candara"/>
          <w:sz w:val="24"/>
          <w:szCs w:val="24"/>
          <w:lang w:val="es-MX"/>
        </w:rPr>
        <w:t>14</w:t>
      </w:r>
      <w:r w:rsidR="00A25034" w:rsidRPr="007F50E2">
        <w:rPr>
          <w:rFonts w:ascii="Candara" w:hAnsi="Candara"/>
          <w:sz w:val="24"/>
          <w:szCs w:val="24"/>
          <w:lang w:val="es-MX"/>
        </w:rPr>
        <w:t>-20</w:t>
      </w:r>
      <w:r w:rsidR="00714B06">
        <w:rPr>
          <w:rFonts w:ascii="Candara" w:hAnsi="Candara"/>
          <w:sz w:val="24"/>
          <w:szCs w:val="24"/>
          <w:lang w:val="es-MX"/>
        </w:rPr>
        <w:t>20</w:t>
      </w:r>
    </w:p>
    <w:p w:rsidR="001E1C63" w:rsidRPr="007F50E2" w:rsidRDefault="001E1C63" w:rsidP="00A25034">
      <w:pPr>
        <w:jc w:val="center"/>
        <w:rPr>
          <w:rFonts w:ascii="Candara" w:hAnsi="Candara"/>
          <w:sz w:val="24"/>
          <w:szCs w:val="24"/>
          <w:lang w:val="es-MX"/>
        </w:rPr>
      </w:pPr>
    </w:p>
    <w:p w:rsidR="00A25034" w:rsidRPr="007F50E2" w:rsidRDefault="00533086" w:rsidP="00F14F4B">
      <w:pPr>
        <w:jc w:val="center"/>
        <w:rPr>
          <w:rFonts w:ascii="Candara" w:hAnsi="Candara"/>
          <w:sz w:val="24"/>
          <w:szCs w:val="24"/>
          <w:lang w:val="es-MX"/>
        </w:rPr>
      </w:pPr>
      <w:r w:rsidRPr="00533086">
        <w:rPr>
          <w:noProof/>
        </w:rPr>
        <w:drawing>
          <wp:inline distT="0" distB="0" distL="0" distR="0" wp14:anchorId="504F20DB" wp14:editId="0D44A26C">
            <wp:extent cx="4902200" cy="273558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2200" cy="2735580"/>
                    </a:xfrm>
                    <a:prstGeom prst="rect">
                      <a:avLst/>
                    </a:prstGeom>
                    <a:noFill/>
                    <a:ln>
                      <a:noFill/>
                    </a:ln>
                  </pic:spPr>
                </pic:pic>
              </a:graphicData>
            </a:graphic>
          </wp:inline>
        </w:drawing>
      </w:r>
    </w:p>
    <w:p w:rsidR="00A25034" w:rsidRDefault="00A25034" w:rsidP="00F14F4B">
      <w:pPr>
        <w:jc w:val="center"/>
        <w:rPr>
          <w:rFonts w:ascii="Candara" w:hAnsi="Candara"/>
          <w:sz w:val="24"/>
          <w:szCs w:val="24"/>
          <w:lang w:val="es-MX"/>
        </w:rPr>
      </w:pPr>
    </w:p>
    <w:p w:rsidR="004C442A" w:rsidRPr="007F50E2" w:rsidRDefault="004C442A" w:rsidP="00F14F4B">
      <w:pPr>
        <w:jc w:val="center"/>
        <w:rPr>
          <w:rFonts w:ascii="Candara" w:hAnsi="Candara"/>
          <w:sz w:val="24"/>
          <w:szCs w:val="24"/>
          <w:lang w:val="es-MX"/>
        </w:rPr>
      </w:pPr>
    </w:p>
    <w:p w:rsidR="00BE54F5" w:rsidRPr="007F50E2" w:rsidRDefault="00442DE5" w:rsidP="008733DC">
      <w:pPr>
        <w:pStyle w:val="Heading2"/>
        <w:rPr>
          <w:rFonts w:ascii="Candara" w:hAnsi="Candara"/>
          <w:lang w:val="es-MX"/>
        </w:rPr>
      </w:pPr>
      <w:bookmarkStart w:id="44" w:name="_Toc411843465"/>
      <w:r w:rsidRPr="007F50E2">
        <w:rPr>
          <w:rFonts w:ascii="Candara" w:hAnsi="Candara"/>
          <w:lang w:val="es-MX"/>
        </w:rPr>
        <w:lastRenderedPageBreak/>
        <w:t xml:space="preserve"> </w:t>
      </w:r>
      <w:bookmarkStart w:id="45" w:name="_Toc56581211"/>
      <w:bookmarkStart w:id="46" w:name="_Toc64531476"/>
      <w:r w:rsidR="00AA7D08" w:rsidRPr="008733DC">
        <w:rPr>
          <w:rFonts w:ascii="Candara" w:hAnsi="Candara"/>
          <w:b/>
          <w:sz w:val="24"/>
          <w:szCs w:val="24"/>
          <w:lang w:val="es-MX"/>
        </w:rPr>
        <w:t>2</w:t>
      </w:r>
      <w:r w:rsidR="009B117C" w:rsidRPr="008733DC">
        <w:rPr>
          <w:rFonts w:ascii="Candara" w:hAnsi="Candara"/>
          <w:b/>
          <w:sz w:val="24"/>
          <w:szCs w:val="24"/>
          <w:lang w:val="es-MX"/>
        </w:rPr>
        <w:t xml:space="preserve">.1 </w:t>
      </w:r>
      <w:r w:rsidR="00BE54F5" w:rsidRPr="008733DC">
        <w:rPr>
          <w:rFonts w:ascii="Candara" w:hAnsi="Candara"/>
          <w:b/>
          <w:sz w:val="24"/>
          <w:szCs w:val="24"/>
          <w:lang w:val="es-MX"/>
        </w:rPr>
        <w:t>Gastos corrientes</w:t>
      </w:r>
      <w:bookmarkEnd w:id="44"/>
      <w:bookmarkEnd w:id="45"/>
      <w:bookmarkEnd w:id="46"/>
    </w:p>
    <w:p w:rsidR="00BB5C3E" w:rsidRPr="00251547" w:rsidRDefault="00BB5C3E" w:rsidP="00BE54F5">
      <w:pPr>
        <w:jc w:val="both"/>
        <w:rPr>
          <w:rFonts w:ascii="Candara" w:hAnsi="Candara"/>
          <w:sz w:val="16"/>
          <w:szCs w:val="16"/>
          <w:lang w:val="es-MX"/>
        </w:rPr>
      </w:pPr>
    </w:p>
    <w:p w:rsidR="007E3EC1" w:rsidRDefault="00694FC2" w:rsidP="004A685A">
      <w:pPr>
        <w:jc w:val="both"/>
        <w:rPr>
          <w:rFonts w:ascii="Candara" w:hAnsi="Candara" w:cs="Arial"/>
          <w:iCs/>
          <w:sz w:val="24"/>
          <w:szCs w:val="24"/>
          <w:lang w:val="es-MX"/>
        </w:rPr>
      </w:pPr>
      <w:r w:rsidRPr="00C40CCA">
        <w:rPr>
          <w:rFonts w:ascii="Candara" w:hAnsi="Candara" w:cs="Arial"/>
          <w:iCs/>
          <w:sz w:val="24"/>
          <w:szCs w:val="24"/>
          <w:lang w:val="es-MX"/>
        </w:rPr>
        <w:t>Los gastos corrientes del SPNF registraron un monto de $</w:t>
      </w:r>
      <w:r w:rsidR="0081268E">
        <w:rPr>
          <w:rFonts w:ascii="Candara" w:hAnsi="Candara" w:cs="Arial"/>
          <w:iCs/>
          <w:sz w:val="24"/>
          <w:szCs w:val="24"/>
          <w:lang w:val="es-MX"/>
        </w:rPr>
        <w:t>6,787.7</w:t>
      </w:r>
      <w:r w:rsidRPr="00C40CCA">
        <w:rPr>
          <w:rFonts w:ascii="Candara" w:hAnsi="Candara" w:cs="Arial"/>
          <w:iCs/>
          <w:sz w:val="24"/>
          <w:szCs w:val="24"/>
          <w:lang w:val="es-MX"/>
        </w:rPr>
        <w:t xml:space="preserve"> millones, mostrando un crecimiento de </w:t>
      </w:r>
      <w:r w:rsidR="0081268E">
        <w:rPr>
          <w:rFonts w:ascii="Candara" w:hAnsi="Candara" w:cs="Arial"/>
          <w:iCs/>
          <w:sz w:val="24"/>
          <w:szCs w:val="24"/>
          <w:lang w:val="es-MX"/>
        </w:rPr>
        <w:t>17.8</w:t>
      </w:r>
      <w:r w:rsidRPr="00C40CCA">
        <w:rPr>
          <w:rFonts w:ascii="Candara" w:hAnsi="Candara" w:cs="Arial"/>
          <w:iCs/>
          <w:sz w:val="24"/>
          <w:szCs w:val="24"/>
          <w:lang w:val="es-MX"/>
        </w:rPr>
        <w:t>%</w:t>
      </w:r>
      <w:r w:rsidR="00F733D9">
        <w:rPr>
          <w:rFonts w:ascii="Candara" w:hAnsi="Candara" w:cs="Arial"/>
          <w:iCs/>
          <w:sz w:val="24"/>
          <w:szCs w:val="24"/>
          <w:lang w:val="es-MX"/>
        </w:rPr>
        <w:t>,</w:t>
      </w:r>
      <w:r w:rsidRPr="00C40CCA">
        <w:rPr>
          <w:rFonts w:ascii="Candara" w:hAnsi="Candara" w:cs="Arial"/>
          <w:iCs/>
          <w:sz w:val="24"/>
          <w:szCs w:val="24"/>
          <w:lang w:val="es-MX"/>
        </w:rPr>
        <w:t xml:space="preserve"> debido a</w:t>
      </w:r>
      <w:r w:rsidR="007500E5">
        <w:rPr>
          <w:rFonts w:ascii="Candara" w:hAnsi="Candara" w:cs="Arial"/>
          <w:iCs/>
          <w:sz w:val="24"/>
          <w:szCs w:val="24"/>
          <w:lang w:val="es-MX"/>
        </w:rPr>
        <w:t xml:space="preserve"> </w:t>
      </w:r>
      <w:r w:rsidRPr="00C40CCA">
        <w:rPr>
          <w:rFonts w:ascii="Candara" w:hAnsi="Candara" w:cs="Arial"/>
          <w:iCs/>
          <w:sz w:val="24"/>
          <w:szCs w:val="24"/>
          <w:lang w:val="es-MX"/>
        </w:rPr>
        <w:t xml:space="preserve">incrementos en </w:t>
      </w:r>
      <w:r w:rsidR="007500E5">
        <w:rPr>
          <w:rFonts w:ascii="Candara" w:hAnsi="Candara" w:cs="Arial"/>
          <w:iCs/>
          <w:sz w:val="24"/>
          <w:szCs w:val="24"/>
          <w:lang w:val="es-MX"/>
        </w:rPr>
        <w:t>todos los rubros que lo conforman</w:t>
      </w:r>
      <w:r w:rsidRPr="00C40CCA">
        <w:rPr>
          <w:rFonts w:ascii="Candara" w:hAnsi="Candara" w:cs="Arial"/>
          <w:iCs/>
          <w:sz w:val="24"/>
          <w:szCs w:val="24"/>
          <w:lang w:val="es-MX"/>
        </w:rPr>
        <w:t xml:space="preserve">. Como porcentaje del PIB el gasto corriente representa un </w:t>
      </w:r>
      <w:r w:rsidR="00BC599A">
        <w:rPr>
          <w:rFonts w:ascii="Candara" w:hAnsi="Candara" w:cs="Arial"/>
          <w:iCs/>
          <w:sz w:val="24"/>
          <w:szCs w:val="24"/>
          <w:lang w:val="es-MX"/>
        </w:rPr>
        <w:t>2</w:t>
      </w:r>
      <w:r w:rsidR="0081268E">
        <w:rPr>
          <w:rFonts w:ascii="Candara" w:hAnsi="Candara" w:cs="Arial"/>
          <w:iCs/>
          <w:sz w:val="24"/>
          <w:szCs w:val="24"/>
          <w:lang w:val="es-MX"/>
        </w:rPr>
        <w:t>6.9</w:t>
      </w:r>
      <w:r w:rsidRPr="00C40CCA">
        <w:rPr>
          <w:rFonts w:ascii="Candara" w:hAnsi="Candara" w:cs="Arial"/>
          <w:iCs/>
          <w:sz w:val="24"/>
          <w:szCs w:val="24"/>
          <w:lang w:val="es-MX"/>
        </w:rPr>
        <w:t xml:space="preserve">%, </w:t>
      </w:r>
      <w:r w:rsidR="0070184D">
        <w:rPr>
          <w:rFonts w:ascii="Candara" w:hAnsi="Candara" w:cs="Arial"/>
          <w:iCs/>
          <w:sz w:val="24"/>
          <w:szCs w:val="24"/>
          <w:lang w:val="es-MX"/>
        </w:rPr>
        <w:t>superior</w:t>
      </w:r>
      <w:r w:rsidRPr="00C40CCA">
        <w:rPr>
          <w:rFonts w:ascii="Candara" w:hAnsi="Candara" w:cs="Arial"/>
          <w:iCs/>
          <w:sz w:val="24"/>
          <w:szCs w:val="24"/>
          <w:lang w:val="es-MX"/>
        </w:rPr>
        <w:t xml:space="preserve"> en </w:t>
      </w:r>
      <w:r w:rsidR="0081268E">
        <w:rPr>
          <w:rFonts w:ascii="Candara" w:hAnsi="Candara" w:cs="Arial"/>
          <w:iCs/>
          <w:sz w:val="24"/>
          <w:szCs w:val="24"/>
          <w:lang w:val="es-MX"/>
        </w:rPr>
        <w:t>5</w:t>
      </w:r>
      <w:r w:rsidR="00BC599A">
        <w:rPr>
          <w:rFonts w:ascii="Candara" w:hAnsi="Candara" w:cs="Arial"/>
          <w:iCs/>
          <w:sz w:val="24"/>
          <w:szCs w:val="24"/>
          <w:lang w:val="es-MX"/>
        </w:rPr>
        <w:t>.6</w:t>
      </w:r>
      <w:r w:rsidRPr="00C40CCA">
        <w:rPr>
          <w:rFonts w:ascii="Candara" w:hAnsi="Candara" w:cs="Arial"/>
          <w:iCs/>
          <w:sz w:val="24"/>
          <w:szCs w:val="24"/>
          <w:lang w:val="es-MX"/>
        </w:rPr>
        <w:t xml:space="preserve"> punto</w:t>
      </w:r>
      <w:r w:rsidR="0070184D">
        <w:rPr>
          <w:rFonts w:ascii="Candara" w:hAnsi="Candara" w:cs="Arial"/>
          <w:iCs/>
          <w:sz w:val="24"/>
          <w:szCs w:val="24"/>
          <w:lang w:val="es-MX"/>
        </w:rPr>
        <w:t>s</w:t>
      </w:r>
      <w:r w:rsidRPr="00C40CCA">
        <w:rPr>
          <w:rFonts w:ascii="Candara" w:hAnsi="Candara" w:cs="Arial"/>
          <w:iCs/>
          <w:sz w:val="24"/>
          <w:szCs w:val="24"/>
          <w:lang w:val="es-MX"/>
        </w:rPr>
        <w:t xml:space="preserve"> porcentual</w:t>
      </w:r>
      <w:r w:rsidR="0070184D">
        <w:rPr>
          <w:rFonts w:ascii="Candara" w:hAnsi="Candara" w:cs="Arial"/>
          <w:iCs/>
          <w:sz w:val="24"/>
          <w:szCs w:val="24"/>
          <w:lang w:val="es-MX"/>
        </w:rPr>
        <w:t>es</w:t>
      </w:r>
      <w:r w:rsidRPr="00C40CCA">
        <w:rPr>
          <w:rFonts w:ascii="Candara" w:hAnsi="Candara" w:cs="Arial"/>
          <w:iCs/>
          <w:sz w:val="24"/>
          <w:szCs w:val="24"/>
          <w:lang w:val="es-MX"/>
        </w:rPr>
        <w:t xml:space="preserve"> al alcanzado en el año anterior</w:t>
      </w:r>
      <w:r w:rsidR="00C40CCA">
        <w:rPr>
          <w:rFonts w:ascii="Candara" w:hAnsi="Candara" w:cs="Arial"/>
          <w:iCs/>
          <w:sz w:val="24"/>
          <w:szCs w:val="24"/>
          <w:lang w:val="es-MX"/>
        </w:rPr>
        <w:t xml:space="preserve">. </w:t>
      </w:r>
    </w:p>
    <w:p w:rsidR="00C40CCA" w:rsidRPr="00251547" w:rsidRDefault="00C40CCA" w:rsidP="004A685A">
      <w:pPr>
        <w:jc w:val="both"/>
        <w:rPr>
          <w:rFonts w:ascii="Candara" w:hAnsi="Candara" w:cs="Arial"/>
          <w:iCs/>
          <w:sz w:val="16"/>
          <w:szCs w:val="16"/>
          <w:lang w:val="es-MX"/>
        </w:rPr>
      </w:pPr>
    </w:p>
    <w:p w:rsidR="00A50DFB" w:rsidRDefault="009D513A" w:rsidP="009D513A">
      <w:pPr>
        <w:pStyle w:val="BodyText2"/>
        <w:spacing w:after="0" w:line="240" w:lineRule="auto"/>
        <w:ind w:right="-32"/>
        <w:jc w:val="both"/>
        <w:rPr>
          <w:rFonts w:ascii="Candara" w:hAnsi="Candara" w:cs="Arial"/>
          <w:iCs/>
          <w:sz w:val="24"/>
          <w:szCs w:val="24"/>
          <w:lang w:val="es-SV"/>
        </w:rPr>
      </w:pPr>
      <w:r w:rsidRPr="007F50E2">
        <w:rPr>
          <w:rFonts w:ascii="Candara" w:hAnsi="Candara" w:cs="Arial"/>
          <w:iCs/>
          <w:sz w:val="24"/>
          <w:szCs w:val="24"/>
          <w:lang w:val="es-SV"/>
        </w:rPr>
        <w:t>A nivel de detalle,</w:t>
      </w:r>
      <w:r w:rsidRPr="007F50E2">
        <w:rPr>
          <w:rFonts w:ascii="Candara" w:hAnsi="Candara" w:cs="Arial"/>
          <w:iCs/>
          <w:sz w:val="24"/>
          <w:szCs w:val="24"/>
          <w:lang w:val="es-419"/>
        </w:rPr>
        <w:t xml:space="preserve"> los gastos de </w:t>
      </w:r>
      <w:r w:rsidRPr="007F50E2">
        <w:rPr>
          <w:rFonts w:ascii="Candara" w:hAnsi="Candara" w:cs="Arial"/>
          <w:iCs/>
          <w:sz w:val="24"/>
          <w:szCs w:val="24"/>
          <w:lang w:val="es-MX"/>
        </w:rPr>
        <w:t>consumo ascendieron a $</w:t>
      </w:r>
      <w:r w:rsidR="0081268E">
        <w:rPr>
          <w:rFonts w:ascii="Candara" w:hAnsi="Candara" w:cs="Arial"/>
          <w:iCs/>
          <w:sz w:val="24"/>
          <w:szCs w:val="24"/>
          <w:lang w:val="es-MX"/>
        </w:rPr>
        <w:t>4,199.7</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lang w:val="es-419"/>
        </w:rPr>
        <w:t xml:space="preserve"> </w:t>
      </w:r>
      <w:r w:rsidRPr="007F50E2">
        <w:rPr>
          <w:rFonts w:ascii="Candara" w:hAnsi="Candara" w:cs="Arial"/>
          <w:iCs/>
          <w:sz w:val="24"/>
          <w:szCs w:val="24"/>
          <w:lang w:val="es-MX"/>
        </w:rPr>
        <w:t>$</w:t>
      </w:r>
      <w:r w:rsidR="0081268E">
        <w:rPr>
          <w:rFonts w:ascii="Candara" w:hAnsi="Candara" w:cs="Arial"/>
          <w:iCs/>
          <w:sz w:val="24"/>
          <w:szCs w:val="24"/>
          <w:lang w:val="es-MX"/>
        </w:rPr>
        <w:t>274.9</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más que los registrados </w:t>
      </w:r>
      <w:r w:rsidRPr="007F50E2">
        <w:rPr>
          <w:rFonts w:ascii="Candara" w:hAnsi="Candara" w:cs="Arial"/>
          <w:iCs/>
          <w:sz w:val="24"/>
          <w:szCs w:val="24"/>
          <w:lang w:val="es-MX"/>
        </w:rPr>
        <w:t xml:space="preserve">a </w:t>
      </w:r>
      <w:r w:rsidR="006854AC">
        <w:rPr>
          <w:rFonts w:ascii="Candara" w:hAnsi="Candara" w:cs="Arial"/>
          <w:iCs/>
          <w:sz w:val="24"/>
          <w:szCs w:val="24"/>
          <w:lang w:val="es-MX"/>
        </w:rPr>
        <w:t>diciembre</w:t>
      </w:r>
      <w:r w:rsidRPr="007F50E2">
        <w:rPr>
          <w:rFonts w:ascii="Candara" w:hAnsi="Candara" w:cs="Arial"/>
          <w:iCs/>
          <w:sz w:val="24"/>
          <w:szCs w:val="24"/>
          <w:lang w:val="es-MX"/>
        </w:rPr>
        <w:t xml:space="preserve"> de</w:t>
      </w:r>
      <w:r w:rsidRPr="007F50E2">
        <w:rPr>
          <w:rFonts w:ascii="Candara" w:hAnsi="Candara" w:cs="Arial"/>
          <w:iCs/>
          <w:sz w:val="24"/>
          <w:szCs w:val="24"/>
          <w:lang w:val="es-419"/>
        </w:rPr>
        <w:t xml:space="preserve"> </w:t>
      </w:r>
      <w:r w:rsidR="00042C94">
        <w:rPr>
          <w:rFonts w:ascii="Candara" w:hAnsi="Candara" w:cs="Arial"/>
          <w:iCs/>
          <w:sz w:val="24"/>
          <w:szCs w:val="24"/>
          <w:lang w:val="es-419"/>
        </w:rPr>
        <w:t>2019</w:t>
      </w:r>
      <w:r w:rsidR="00A50DFB">
        <w:rPr>
          <w:rFonts w:ascii="Candara" w:hAnsi="Candara" w:cs="Arial"/>
          <w:iCs/>
          <w:sz w:val="24"/>
          <w:szCs w:val="24"/>
          <w:lang w:val="es-SV"/>
        </w:rPr>
        <w:t>, principalmente por el incremento</w:t>
      </w:r>
      <w:r w:rsidR="00A50DFB" w:rsidRPr="00A50DFB">
        <w:rPr>
          <w:rFonts w:ascii="Candara" w:hAnsi="Candara" w:cs="Arial"/>
          <w:iCs/>
          <w:sz w:val="24"/>
          <w:szCs w:val="24"/>
          <w:lang w:val="es-SV"/>
        </w:rPr>
        <w:t xml:space="preserve"> </w:t>
      </w:r>
      <w:r w:rsidR="00A50DFB">
        <w:rPr>
          <w:rFonts w:ascii="Candara" w:hAnsi="Candara" w:cs="Arial"/>
          <w:iCs/>
          <w:sz w:val="24"/>
          <w:szCs w:val="24"/>
          <w:lang w:val="es-SV"/>
        </w:rPr>
        <w:t xml:space="preserve">en las </w:t>
      </w:r>
      <w:r w:rsidR="0070184D">
        <w:rPr>
          <w:rFonts w:ascii="Candara" w:hAnsi="Candara" w:cs="Arial"/>
          <w:iCs/>
          <w:sz w:val="24"/>
          <w:szCs w:val="24"/>
          <w:lang w:val="es-SV"/>
        </w:rPr>
        <w:t>los bienes y servicios por $</w:t>
      </w:r>
      <w:r w:rsidR="0081268E">
        <w:rPr>
          <w:rFonts w:ascii="Candara" w:hAnsi="Candara" w:cs="Arial"/>
          <w:iCs/>
          <w:sz w:val="24"/>
          <w:szCs w:val="24"/>
          <w:lang w:val="es-SV"/>
        </w:rPr>
        <w:t>114.3</w:t>
      </w:r>
      <w:r w:rsidR="0070184D">
        <w:rPr>
          <w:rFonts w:ascii="Candara" w:hAnsi="Candara" w:cs="Arial"/>
          <w:iCs/>
          <w:sz w:val="24"/>
          <w:szCs w:val="24"/>
          <w:lang w:val="es-SV"/>
        </w:rPr>
        <w:t xml:space="preserve"> millones y en </w:t>
      </w:r>
      <w:r w:rsidR="00A50DFB">
        <w:rPr>
          <w:rFonts w:ascii="Candara" w:hAnsi="Candara" w:cs="Arial"/>
          <w:iCs/>
          <w:sz w:val="24"/>
          <w:szCs w:val="24"/>
          <w:lang w:val="es-SV"/>
        </w:rPr>
        <w:t>remuneraciones por $</w:t>
      </w:r>
      <w:r w:rsidR="0070184D">
        <w:rPr>
          <w:rFonts w:ascii="Candara" w:hAnsi="Candara" w:cs="Arial"/>
          <w:iCs/>
          <w:sz w:val="24"/>
          <w:szCs w:val="24"/>
          <w:lang w:val="es-SV"/>
        </w:rPr>
        <w:t>1</w:t>
      </w:r>
      <w:r w:rsidR="0081268E">
        <w:rPr>
          <w:rFonts w:ascii="Candara" w:hAnsi="Candara" w:cs="Arial"/>
          <w:iCs/>
          <w:sz w:val="24"/>
          <w:szCs w:val="24"/>
          <w:lang w:val="es-SV"/>
        </w:rPr>
        <w:t>60.5</w:t>
      </w:r>
      <w:r w:rsidR="00A50DFB">
        <w:rPr>
          <w:rFonts w:ascii="Candara" w:hAnsi="Candara" w:cs="Arial"/>
          <w:iCs/>
          <w:sz w:val="24"/>
          <w:szCs w:val="24"/>
          <w:lang w:val="es-SV"/>
        </w:rPr>
        <w:t xml:space="preserve"> millones</w:t>
      </w:r>
      <w:r w:rsidR="00C64212">
        <w:rPr>
          <w:rFonts w:ascii="Candara" w:hAnsi="Candara" w:cs="Arial"/>
          <w:iCs/>
          <w:sz w:val="24"/>
          <w:szCs w:val="24"/>
          <w:lang w:val="es-SV"/>
        </w:rPr>
        <w:t>; lo anterior debido a la</w:t>
      </w:r>
      <w:r w:rsidR="00F71F6D">
        <w:rPr>
          <w:rFonts w:ascii="Candara" w:hAnsi="Candara" w:cs="Arial"/>
          <w:iCs/>
          <w:sz w:val="24"/>
          <w:szCs w:val="24"/>
          <w:lang w:val="es-SV"/>
        </w:rPr>
        <w:t>s</w:t>
      </w:r>
      <w:r w:rsidR="00C64212">
        <w:rPr>
          <w:rFonts w:ascii="Candara" w:hAnsi="Candara" w:cs="Arial"/>
          <w:iCs/>
          <w:sz w:val="24"/>
          <w:szCs w:val="24"/>
          <w:lang w:val="es-SV"/>
        </w:rPr>
        <w:t xml:space="preserve"> </w:t>
      </w:r>
      <w:r w:rsidR="00F71F6D">
        <w:rPr>
          <w:rFonts w:ascii="Candara" w:hAnsi="Candara" w:cs="Arial"/>
          <w:iCs/>
          <w:sz w:val="24"/>
          <w:szCs w:val="24"/>
          <w:lang w:val="es-SV"/>
        </w:rPr>
        <w:t xml:space="preserve">modificaciones presupuestarias y </w:t>
      </w:r>
      <w:r w:rsidR="00C64212">
        <w:rPr>
          <w:rFonts w:ascii="Candara" w:hAnsi="Candara" w:cs="Arial"/>
          <w:iCs/>
          <w:sz w:val="24"/>
          <w:szCs w:val="24"/>
          <w:lang w:val="es-SV"/>
        </w:rPr>
        <w:t>reorientaci</w:t>
      </w:r>
      <w:r w:rsidR="00627524">
        <w:rPr>
          <w:rFonts w:ascii="Candara" w:hAnsi="Candara" w:cs="Arial"/>
          <w:iCs/>
          <w:sz w:val="24"/>
          <w:szCs w:val="24"/>
          <w:lang w:val="es-SV"/>
        </w:rPr>
        <w:t>ones</w:t>
      </w:r>
      <w:r w:rsidR="00C64212">
        <w:rPr>
          <w:rFonts w:ascii="Candara" w:hAnsi="Candara" w:cs="Arial"/>
          <w:iCs/>
          <w:sz w:val="24"/>
          <w:szCs w:val="24"/>
          <w:lang w:val="es-SV"/>
        </w:rPr>
        <w:t xml:space="preserve"> de recursos para la adquisición de insumos</w:t>
      </w:r>
      <w:r w:rsidR="00627524">
        <w:rPr>
          <w:rFonts w:ascii="Candara" w:hAnsi="Candara" w:cs="Arial"/>
          <w:iCs/>
          <w:sz w:val="24"/>
          <w:szCs w:val="24"/>
          <w:lang w:val="es-SV"/>
        </w:rPr>
        <w:t xml:space="preserve"> médicos</w:t>
      </w:r>
      <w:r w:rsidR="00C64212">
        <w:rPr>
          <w:rFonts w:ascii="Candara" w:hAnsi="Candara" w:cs="Arial"/>
          <w:iCs/>
          <w:sz w:val="24"/>
          <w:szCs w:val="24"/>
          <w:lang w:val="es-SV"/>
        </w:rPr>
        <w:t xml:space="preserve"> y alimentos para atender las necesidades </w:t>
      </w:r>
      <w:r w:rsidR="00C443C1">
        <w:rPr>
          <w:rFonts w:ascii="Candara" w:hAnsi="Candara" w:cs="Arial"/>
          <w:iCs/>
          <w:sz w:val="24"/>
          <w:szCs w:val="24"/>
          <w:lang w:val="es-SV"/>
        </w:rPr>
        <w:t>del sistema hospitalario del país</w:t>
      </w:r>
      <w:r w:rsidR="00F733D9">
        <w:rPr>
          <w:rFonts w:ascii="Candara" w:hAnsi="Candara" w:cs="Arial"/>
          <w:iCs/>
          <w:sz w:val="24"/>
          <w:szCs w:val="24"/>
          <w:lang w:val="es-SV"/>
        </w:rPr>
        <w:t>,</w:t>
      </w:r>
      <w:r w:rsidR="00C443C1">
        <w:rPr>
          <w:rFonts w:ascii="Candara" w:hAnsi="Candara" w:cs="Arial"/>
          <w:iCs/>
          <w:sz w:val="24"/>
          <w:szCs w:val="24"/>
          <w:lang w:val="es-SV"/>
        </w:rPr>
        <w:t xml:space="preserve"> </w:t>
      </w:r>
      <w:r w:rsidR="0095419B">
        <w:rPr>
          <w:rFonts w:ascii="Candara" w:hAnsi="Candara" w:cs="Arial"/>
          <w:iCs/>
          <w:sz w:val="24"/>
          <w:szCs w:val="24"/>
          <w:lang w:val="es-SV"/>
        </w:rPr>
        <w:t>en beneficio</w:t>
      </w:r>
      <w:r w:rsidR="00C443C1">
        <w:rPr>
          <w:rFonts w:ascii="Candara" w:hAnsi="Candara" w:cs="Arial"/>
          <w:iCs/>
          <w:sz w:val="24"/>
          <w:szCs w:val="24"/>
          <w:lang w:val="es-SV"/>
        </w:rPr>
        <w:t xml:space="preserve"> a la </w:t>
      </w:r>
      <w:r w:rsidR="00C64212">
        <w:rPr>
          <w:rFonts w:ascii="Candara" w:hAnsi="Candara" w:cs="Arial"/>
          <w:iCs/>
          <w:sz w:val="24"/>
          <w:szCs w:val="24"/>
          <w:lang w:val="es-SV"/>
        </w:rPr>
        <w:t xml:space="preserve">población </w:t>
      </w:r>
      <w:r w:rsidR="00F733D9">
        <w:rPr>
          <w:rFonts w:ascii="Candara" w:hAnsi="Candara" w:cs="Arial"/>
          <w:iCs/>
          <w:sz w:val="24"/>
          <w:szCs w:val="24"/>
          <w:lang w:val="es-SV"/>
        </w:rPr>
        <w:t xml:space="preserve">salvadoreña </w:t>
      </w:r>
      <w:r w:rsidR="00C443C1">
        <w:rPr>
          <w:rFonts w:ascii="Candara" w:hAnsi="Candara" w:cs="Arial"/>
          <w:iCs/>
          <w:sz w:val="24"/>
          <w:szCs w:val="24"/>
          <w:lang w:val="es-SV"/>
        </w:rPr>
        <w:t xml:space="preserve">afectada </w:t>
      </w:r>
      <w:r w:rsidR="00C64212">
        <w:rPr>
          <w:rFonts w:ascii="Candara" w:hAnsi="Candara" w:cs="Arial"/>
          <w:iCs/>
          <w:sz w:val="24"/>
          <w:szCs w:val="24"/>
          <w:lang w:val="es-SV"/>
        </w:rPr>
        <w:t>durante la pandemia</w:t>
      </w:r>
      <w:r w:rsidR="005C4917">
        <w:rPr>
          <w:rFonts w:ascii="Candara" w:hAnsi="Candara" w:cs="Arial"/>
          <w:iCs/>
          <w:sz w:val="24"/>
          <w:szCs w:val="24"/>
          <w:lang w:val="es-SV"/>
        </w:rPr>
        <w:t xml:space="preserve"> por COVID-19</w:t>
      </w:r>
      <w:r w:rsidR="00C64212">
        <w:rPr>
          <w:rFonts w:ascii="Candara" w:hAnsi="Candara" w:cs="Arial"/>
          <w:iCs/>
          <w:sz w:val="24"/>
          <w:szCs w:val="24"/>
          <w:lang w:val="es-SV"/>
        </w:rPr>
        <w:t>.</w:t>
      </w:r>
    </w:p>
    <w:p w:rsidR="009D513A" w:rsidRPr="009F74EE" w:rsidRDefault="00A50DFB" w:rsidP="009D513A">
      <w:pPr>
        <w:pStyle w:val="BodyText2"/>
        <w:spacing w:after="0" w:line="240" w:lineRule="auto"/>
        <w:ind w:right="-32"/>
        <w:jc w:val="both"/>
        <w:rPr>
          <w:rFonts w:ascii="Candara" w:hAnsi="Candara" w:cs="Arial"/>
          <w:iCs/>
          <w:sz w:val="16"/>
          <w:szCs w:val="16"/>
          <w:lang w:val="es-MX"/>
        </w:rPr>
      </w:pPr>
      <w:r>
        <w:rPr>
          <w:rFonts w:ascii="Candara" w:hAnsi="Candara" w:cs="Arial"/>
          <w:iCs/>
          <w:sz w:val="24"/>
          <w:szCs w:val="24"/>
          <w:lang w:val="es-SV"/>
        </w:rPr>
        <w:t xml:space="preserve"> </w:t>
      </w:r>
    </w:p>
    <w:p w:rsidR="00C40CCA" w:rsidRPr="00C40CCA" w:rsidRDefault="009D513A" w:rsidP="00C40CCA">
      <w:pPr>
        <w:pStyle w:val="BodyText2"/>
        <w:spacing w:after="0" w:line="240" w:lineRule="auto"/>
        <w:ind w:right="-32"/>
        <w:jc w:val="both"/>
        <w:rPr>
          <w:rFonts w:ascii="Candara" w:hAnsi="Candara" w:cs="Arial"/>
          <w:iCs/>
          <w:sz w:val="24"/>
          <w:szCs w:val="24"/>
          <w:lang w:val="es-419"/>
        </w:rPr>
      </w:pPr>
      <w:r w:rsidRPr="007F50E2">
        <w:rPr>
          <w:rFonts w:ascii="Candara" w:hAnsi="Candara" w:cs="Arial"/>
          <w:iCs/>
          <w:sz w:val="24"/>
          <w:szCs w:val="24"/>
          <w:lang w:val="es-MX"/>
        </w:rPr>
        <w:t>Los</w:t>
      </w:r>
      <w:r w:rsidRPr="007F50E2">
        <w:rPr>
          <w:rFonts w:ascii="Candara" w:hAnsi="Candara" w:cs="Arial"/>
          <w:iCs/>
          <w:sz w:val="24"/>
          <w:szCs w:val="24"/>
          <w:lang w:val="es-SV"/>
        </w:rPr>
        <w:t xml:space="preserve"> </w:t>
      </w:r>
      <w:r w:rsidRPr="007F50E2">
        <w:rPr>
          <w:rFonts w:ascii="Candara" w:hAnsi="Candara" w:cs="Arial"/>
          <w:iCs/>
          <w:sz w:val="24"/>
          <w:szCs w:val="24"/>
          <w:lang w:val="es-MX"/>
        </w:rPr>
        <w:t xml:space="preserve">intereses de la deuda </w:t>
      </w:r>
      <w:r w:rsidRPr="007F50E2">
        <w:rPr>
          <w:rFonts w:ascii="Candara" w:hAnsi="Candara" w:cs="Arial"/>
          <w:iCs/>
          <w:sz w:val="24"/>
          <w:szCs w:val="24"/>
          <w:lang w:val="es-419"/>
        </w:rPr>
        <w:t xml:space="preserve">ascendieron a </w:t>
      </w:r>
      <w:r w:rsidRPr="007F50E2">
        <w:rPr>
          <w:rFonts w:ascii="Candara" w:hAnsi="Candara" w:cs="Arial"/>
          <w:iCs/>
          <w:sz w:val="24"/>
          <w:szCs w:val="24"/>
          <w:lang w:val="es-MX"/>
        </w:rPr>
        <w:t>un valor de $</w:t>
      </w:r>
      <w:r w:rsidR="0081268E">
        <w:rPr>
          <w:rFonts w:ascii="Candara" w:hAnsi="Candara" w:cs="Arial"/>
          <w:iCs/>
          <w:sz w:val="24"/>
          <w:szCs w:val="24"/>
          <w:lang w:val="es-MX"/>
        </w:rPr>
        <w:t>1,081.4</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 mostrando un</w:t>
      </w:r>
      <w:r w:rsidR="006C3A52">
        <w:rPr>
          <w:rFonts w:ascii="Candara" w:hAnsi="Candara" w:cs="Arial"/>
          <w:iCs/>
          <w:sz w:val="24"/>
          <w:szCs w:val="24"/>
          <w:lang w:val="es-MX"/>
        </w:rPr>
        <w:t xml:space="preserve"> aumento</w:t>
      </w:r>
      <w:r w:rsidR="00F87661">
        <w:rPr>
          <w:rFonts w:ascii="Candara" w:hAnsi="Candara" w:cs="Arial"/>
          <w:iCs/>
          <w:sz w:val="24"/>
          <w:szCs w:val="24"/>
          <w:lang w:val="es-MX"/>
        </w:rPr>
        <w:t xml:space="preserve"> </w:t>
      </w:r>
      <w:r w:rsidRPr="007F50E2">
        <w:rPr>
          <w:rFonts w:ascii="Candara" w:hAnsi="Candara" w:cs="Arial"/>
          <w:iCs/>
          <w:sz w:val="24"/>
          <w:szCs w:val="24"/>
          <w:lang w:val="es-MX"/>
        </w:rPr>
        <w:t xml:space="preserve">de </w:t>
      </w:r>
      <w:r w:rsidR="0081268E">
        <w:rPr>
          <w:rFonts w:ascii="Candara" w:hAnsi="Candara" w:cs="Arial"/>
          <w:iCs/>
          <w:sz w:val="24"/>
          <w:szCs w:val="24"/>
          <w:lang w:val="es-MX"/>
        </w:rPr>
        <w:t>9.1</w:t>
      </w:r>
      <w:r w:rsidRPr="007F50E2">
        <w:rPr>
          <w:rFonts w:ascii="Candara" w:hAnsi="Candara" w:cs="Arial"/>
          <w:iCs/>
          <w:sz w:val="24"/>
          <w:szCs w:val="24"/>
          <w:lang w:val="es-MX"/>
        </w:rPr>
        <w:t>%</w:t>
      </w:r>
      <w:r w:rsidRPr="007F50E2">
        <w:rPr>
          <w:rFonts w:ascii="Candara" w:hAnsi="Candara" w:cs="Arial"/>
          <w:iCs/>
          <w:sz w:val="24"/>
          <w:szCs w:val="24"/>
          <w:lang w:val="es-SV"/>
        </w:rPr>
        <w:t>, con respecto al año anterior</w:t>
      </w:r>
      <w:r w:rsidR="00C40CCA">
        <w:rPr>
          <w:rFonts w:ascii="Candara" w:hAnsi="Candara" w:cs="Arial"/>
          <w:iCs/>
          <w:sz w:val="24"/>
          <w:szCs w:val="24"/>
          <w:lang w:val="es-SV"/>
        </w:rPr>
        <w:t>,</w:t>
      </w:r>
      <w:r w:rsidR="00C40CCA" w:rsidRPr="000A2538">
        <w:rPr>
          <w:rFonts w:ascii="Arial" w:hAnsi="Arial" w:cs="Arial"/>
          <w:i/>
          <w:iCs/>
          <w:sz w:val="22"/>
          <w:szCs w:val="22"/>
        </w:rPr>
        <w:t xml:space="preserve"> </w:t>
      </w:r>
      <w:r w:rsidR="00C40CCA" w:rsidRPr="00E56600">
        <w:rPr>
          <w:rFonts w:ascii="Candara" w:hAnsi="Candara" w:cs="Arial"/>
          <w:iCs/>
          <w:sz w:val="24"/>
          <w:szCs w:val="24"/>
          <w:lang w:val="es-419"/>
        </w:rPr>
        <w:t>reflejado básicamente en el Gobierno Central</w:t>
      </w:r>
      <w:r w:rsidR="00E56600" w:rsidRPr="00E56600">
        <w:rPr>
          <w:rFonts w:ascii="Candara" w:hAnsi="Candara" w:cs="Arial"/>
          <w:iCs/>
          <w:sz w:val="24"/>
          <w:szCs w:val="24"/>
          <w:lang w:val="es-419"/>
        </w:rPr>
        <w:t>, derivado del mayor endeudamiento público contratado</w:t>
      </w:r>
      <w:r w:rsidR="00C40CCA" w:rsidRPr="00E56600">
        <w:rPr>
          <w:rFonts w:ascii="Candara" w:hAnsi="Candara" w:cs="Arial"/>
          <w:iCs/>
          <w:sz w:val="24"/>
          <w:szCs w:val="24"/>
          <w:lang w:val="es-419"/>
        </w:rPr>
        <w:t>.</w:t>
      </w:r>
      <w:r w:rsidR="00C40CCA" w:rsidRPr="00C40CCA">
        <w:rPr>
          <w:rFonts w:ascii="Candara" w:hAnsi="Candara" w:cs="Arial"/>
          <w:iCs/>
          <w:sz w:val="24"/>
          <w:szCs w:val="24"/>
          <w:lang w:val="es-419"/>
        </w:rPr>
        <w:t xml:space="preserve"> </w:t>
      </w:r>
    </w:p>
    <w:p w:rsidR="007E3EC1" w:rsidRPr="00251547" w:rsidRDefault="007E3EC1" w:rsidP="004A685A">
      <w:pPr>
        <w:jc w:val="both"/>
        <w:rPr>
          <w:rFonts w:ascii="Candara" w:hAnsi="Candara"/>
          <w:sz w:val="16"/>
          <w:szCs w:val="16"/>
          <w:lang w:val="es-MX"/>
        </w:rPr>
      </w:pPr>
    </w:p>
    <w:p w:rsidR="00B27EF1" w:rsidRPr="0098260F" w:rsidRDefault="00C40CCA" w:rsidP="0098260F">
      <w:pPr>
        <w:pStyle w:val="BodyText2"/>
        <w:spacing w:after="0" w:line="240" w:lineRule="auto"/>
        <w:ind w:right="-32"/>
        <w:jc w:val="both"/>
        <w:rPr>
          <w:rFonts w:ascii="Candara" w:hAnsi="Candara" w:cs="Arial"/>
          <w:iCs/>
          <w:sz w:val="24"/>
          <w:szCs w:val="24"/>
          <w:lang w:val="es-SV"/>
        </w:rPr>
      </w:pPr>
      <w:r>
        <w:rPr>
          <w:rFonts w:ascii="Candara" w:hAnsi="Candara" w:cs="Arial"/>
          <w:iCs/>
          <w:sz w:val="24"/>
          <w:szCs w:val="24"/>
          <w:lang w:val="es-SV"/>
        </w:rPr>
        <w:t>L</w:t>
      </w:r>
      <w:r w:rsidR="0086475B" w:rsidRPr="007F50E2">
        <w:rPr>
          <w:rFonts w:ascii="Candara" w:hAnsi="Candara" w:cs="Arial"/>
          <w:iCs/>
          <w:sz w:val="24"/>
          <w:szCs w:val="24"/>
          <w:lang w:val="es-SV"/>
        </w:rPr>
        <w:t xml:space="preserve">as </w:t>
      </w:r>
      <w:r w:rsidR="0086475B" w:rsidRPr="0098260F">
        <w:rPr>
          <w:rFonts w:ascii="Candara" w:hAnsi="Candara" w:cs="Arial"/>
          <w:iCs/>
          <w:sz w:val="24"/>
          <w:szCs w:val="24"/>
          <w:lang w:val="es-SV"/>
        </w:rPr>
        <w:t>transferencias corrientes ascendieron a $</w:t>
      </w:r>
      <w:r w:rsidR="00BC599A" w:rsidRPr="0098260F">
        <w:rPr>
          <w:rFonts w:ascii="Candara" w:hAnsi="Candara" w:cs="Arial"/>
          <w:iCs/>
          <w:sz w:val="24"/>
          <w:szCs w:val="24"/>
          <w:lang w:val="es-SV"/>
        </w:rPr>
        <w:t>1,</w:t>
      </w:r>
      <w:r w:rsidR="0081268E">
        <w:rPr>
          <w:rFonts w:ascii="Candara" w:hAnsi="Candara" w:cs="Arial"/>
          <w:iCs/>
          <w:sz w:val="24"/>
          <w:szCs w:val="24"/>
          <w:lang w:val="es-SV"/>
        </w:rPr>
        <w:t>506.6</w:t>
      </w:r>
      <w:r w:rsidR="0086475B" w:rsidRPr="0098260F">
        <w:rPr>
          <w:rFonts w:ascii="Candara" w:hAnsi="Candara" w:cs="Arial"/>
          <w:iCs/>
          <w:sz w:val="24"/>
          <w:szCs w:val="24"/>
          <w:lang w:val="es-SV"/>
        </w:rPr>
        <w:t xml:space="preserve"> millones, con un </w:t>
      </w:r>
      <w:r w:rsidR="00F87661">
        <w:rPr>
          <w:rFonts w:ascii="Candara" w:hAnsi="Candara" w:cs="Arial"/>
          <w:iCs/>
          <w:sz w:val="24"/>
          <w:szCs w:val="24"/>
          <w:lang w:val="es-SV"/>
        </w:rPr>
        <w:t>incremento</w:t>
      </w:r>
      <w:r w:rsidR="0086475B" w:rsidRPr="0098260F">
        <w:rPr>
          <w:rFonts w:ascii="Candara" w:hAnsi="Candara" w:cs="Arial"/>
          <w:iCs/>
          <w:sz w:val="24"/>
          <w:szCs w:val="24"/>
          <w:lang w:val="es-SV"/>
        </w:rPr>
        <w:t xml:space="preserve"> </w:t>
      </w:r>
      <w:r w:rsidR="0086475B" w:rsidRPr="007F50E2">
        <w:rPr>
          <w:rFonts w:ascii="Candara" w:hAnsi="Candara" w:cs="Arial"/>
          <w:iCs/>
          <w:sz w:val="24"/>
          <w:szCs w:val="24"/>
          <w:lang w:val="es-SV"/>
        </w:rPr>
        <w:t xml:space="preserve">de </w:t>
      </w:r>
      <w:r w:rsidR="003962FB">
        <w:rPr>
          <w:rFonts w:ascii="Candara" w:hAnsi="Candara" w:cs="Arial"/>
          <w:iCs/>
          <w:sz w:val="24"/>
          <w:szCs w:val="24"/>
          <w:lang w:val="es-SV"/>
        </w:rPr>
        <w:t>$</w:t>
      </w:r>
      <w:r w:rsidR="0081268E">
        <w:rPr>
          <w:rFonts w:ascii="Candara" w:hAnsi="Candara" w:cs="Arial"/>
          <w:iCs/>
          <w:sz w:val="24"/>
          <w:szCs w:val="24"/>
          <w:lang w:val="es-SV"/>
        </w:rPr>
        <w:t>660.9</w:t>
      </w:r>
      <w:r w:rsidR="003962FB">
        <w:rPr>
          <w:rFonts w:ascii="Candara" w:hAnsi="Candara" w:cs="Arial"/>
          <w:iCs/>
          <w:sz w:val="24"/>
          <w:szCs w:val="24"/>
          <w:lang w:val="es-SV"/>
        </w:rPr>
        <w:t xml:space="preserve"> millones, equivalente a </w:t>
      </w:r>
      <w:r w:rsidR="0081268E">
        <w:rPr>
          <w:rFonts w:ascii="Candara" w:hAnsi="Candara" w:cs="Arial"/>
          <w:iCs/>
          <w:sz w:val="24"/>
          <w:szCs w:val="24"/>
          <w:lang w:val="es-SV"/>
        </w:rPr>
        <w:t>78.2</w:t>
      </w:r>
      <w:r w:rsidR="0086475B" w:rsidRPr="007F50E2">
        <w:rPr>
          <w:rFonts w:ascii="Candara" w:hAnsi="Candara" w:cs="Arial"/>
          <w:iCs/>
          <w:sz w:val="24"/>
          <w:szCs w:val="24"/>
          <w:lang w:val="es-SV"/>
        </w:rPr>
        <w:t xml:space="preserve">% </w:t>
      </w:r>
      <w:r w:rsidR="0086475B" w:rsidRPr="0098260F">
        <w:rPr>
          <w:rFonts w:ascii="Candara" w:hAnsi="Candara" w:cs="Arial"/>
          <w:iCs/>
          <w:sz w:val="24"/>
          <w:szCs w:val="24"/>
          <w:lang w:val="es-SV"/>
        </w:rPr>
        <w:t>con respecto al año anterior</w:t>
      </w:r>
      <w:r w:rsidR="00B40E0D" w:rsidRPr="0098260F">
        <w:rPr>
          <w:rFonts w:ascii="Candara" w:hAnsi="Candara" w:cs="Arial"/>
          <w:iCs/>
          <w:sz w:val="24"/>
          <w:szCs w:val="24"/>
          <w:lang w:val="es-SV"/>
        </w:rPr>
        <w:t>,</w:t>
      </w:r>
      <w:r w:rsidR="0086475B" w:rsidRPr="007F50E2">
        <w:rPr>
          <w:rFonts w:ascii="Candara" w:hAnsi="Candara" w:cs="Arial"/>
          <w:iCs/>
          <w:sz w:val="24"/>
          <w:szCs w:val="24"/>
          <w:lang w:val="es-SV"/>
        </w:rPr>
        <w:t xml:space="preserve"> </w:t>
      </w:r>
      <w:r w:rsidR="00B40E0D" w:rsidRPr="00B40E0D">
        <w:rPr>
          <w:rFonts w:ascii="Candara" w:hAnsi="Candara" w:cs="Arial"/>
          <w:iCs/>
          <w:sz w:val="24"/>
          <w:szCs w:val="24"/>
          <w:lang w:val="es-SV"/>
        </w:rPr>
        <w:t xml:space="preserve">explicado principalmente </w:t>
      </w:r>
      <w:r w:rsidR="00B27EF1">
        <w:rPr>
          <w:rFonts w:ascii="Candara" w:hAnsi="Candara" w:cs="Arial"/>
          <w:iCs/>
          <w:sz w:val="24"/>
          <w:szCs w:val="24"/>
          <w:lang w:val="es-SV"/>
        </w:rPr>
        <w:t xml:space="preserve">por la </w:t>
      </w:r>
      <w:r w:rsidR="00B27EF1" w:rsidRPr="0098260F">
        <w:rPr>
          <w:rFonts w:ascii="Candara" w:hAnsi="Candara" w:cs="Arial"/>
          <w:iCs/>
          <w:sz w:val="24"/>
          <w:szCs w:val="24"/>
          <w:lang w:val="es-SV"/>
        </w:rPr>
        <w:t xml:space="preserve">inclusión </w:t>
      </w:r>
      <w:r w:rsidR="00B27EF1" w:rsidRPr="0013549A">
        <w:rPr>
          <w:rFonts w:ascii="Candara" w:hAnsi="Candara" w:cs="Arial"/>
          <w:iCs/>
          <w:sz w:val="24"/>
          <w:szCs w:val="24"/>
          <w:lang w:val="es-SV"/>
        </w:rPr>
        <w:t>de $</w:t>
      </w:r>
      <w:r w:rsidR="00194D12">
        <w:rPr>
          <w:rFonts w:ascii="Candara" w:hAnsi="Candara" w:cs="Arial"/>
          <w:iCs/>
          <w:sz w:val="24"/>
          <w:szCs w:val="24"/>
          <w:lang w:val="es-SV"/>
        </w:rPr>
        <w:t>662.4</w:t>
      </w:r>
      <w:r w:rsidR="00B27EF1" w:rsidRPr="0098260F">
        <w:rPr>
          <w:rFonts w:ascii="Candara" w:hAnsi="Candara" w:cs="Arial"/>
          <w:iCs/>
          <w:sz w:val="24"/>
          <w:szCs w:val="24"/>
          <w:lang w:val="es-SV"/>
        </w:rPr>
        <w:t xml:space="preserve"> millones que han sido </w:t>
      </w:r>
      <w:r w:rsidR="009D541F">
        <w:rPr>
          <w:rFonts w:ascii="Candara" w:hAnsi="Candara" w:cs="Arial"/>
          <w:iCs/>
          <w:sz w:val="24"/>
          <w:szCs w:val="24"/>
          <w:lang w:val="es-SV"/>
        </w:rPr>
        <w:t xml:space="preserve">transferidos a </w:t>
      </w:r>
      <w:r w:rsidR="00B27EF1" w:rsidRPr="0098260F">
        <w:rPr>
          <w:rFonts w:ascii="Candara" w:hAnsi="Candara" w:cs="Arial"/>
          <w:iCs/>
          <w:sz w:val="24"/>
          <w:szCs w:val="24"/>
          <w:lang w:val="es-SV"/>
        </w:rPr>
        <w:t xml:space="preserve">FOPROMID durante los meses de marzo a </w:t>
      </w:r>
      <w:r w:rsidR="006854AC">
        <w:rPr>
          <w:rFonts w:ascii="Candara" w:hAnsi="Candara" w:cs="Arial"/>
          <w:iCs/>
          <w:sz w:val="24"/>
          <w:szCs w:val="24"/>
          <w:lang w:val="es-SV"/>
        </w:rPr>
        <w:t>diciembre</w:t>
      </w:r>
      <w:r w:rsidR="00B27EF1" w:rsidRPr="0098260F">
        <w:rPr>
          <w:rFonts w:ascii="Candara" w:hAnsi="Candara" w:cs="Arial"/>
          <w:iCs/>
          <w:sz w:val="24"/>
          <w:szCs w:val="24"/>
          <w:lang w:val="es-SV"/>
        </w:rPr>
        <w:t xml:space="preserve">, </w:t>
      </w:r>
      <w:r w:rsidR="00855AEE">
        <w:rPr>
          <w:rFonts w:ascii="Candara" w:hAnsi="Candara" w:cs="Arial"/>
          <w:iCs/>
          <w:sz w:val="24"/>
          <w:szCs w:val="24"/>
          <w:lang w:val="es-SV"/>
        </w:rPr>
        <w:t>dicho monto</w:t>
      </w:r>
      <w:r w:rsidR="00B27EF1" w:rsidRPr="0098260F">
        <w:rPr>
          <w:rFonts w:ascii="Candara" w:hAnsi="Candara" w:cs="Arial"/>
          <w:iCs/>
          <w:sz w:val="24"/>
          <w:szCs w:val="24"/>
          <w:lang w:val="es-SV"/>
        </w:rPr>
        <w:t xml:space="preserve"> </w:t>
      </w:r>
      <w:r w:rsidR="00627524">
        <w:rPr>
          <w:rFonts w:ascii="Candara" w:hAnsi="Candara" w:cs="Arial"/>
          <w:iCs/>
          <w:sz w:val="24"/>
          <w:szCs w:val="24"/>
          <w:lang w:val="es-SV"/>
        </w:rPr>
        <w:t>incluyó</w:t>
      </w:r>
      <w:r w:rsidR="00B27EF1" w:rsidRPr="0098260F">
        <w:rPr>
          <w:rFonts w:ascii="Candara" w:hAnsi="Candara" w:cs="Arial"/>
          <w:iCs/>
          <w:sz w:val="24"/>
          <w:szCs w:val="24"/>
          <w:lang w:val="es-SV"/>
        </w:rPr>
        <w:t xml:space="preserve"> la entrega del bono en efectivo de $300.0 a las familias afectadas por la pandemia, compra de insumos médicos para equipamiento de hospitales, compra de cestas alimenticias que se han repartido a la población en general.</w:t>
      </w:r>
      <w:r w:rsidR="00AC581B" w:rsidRPr="00AC581B">
        <w:rPr>
          <w:rFonts w:ascii="Candara" w:hAnsi="Candara" w:cs="Arial"/>
          <w:iCs/>
          <w:sz w:val="24"/>
          <w:szCs w:val="24"/>
          <w:lang w:val="es-SV"/>
        </w:rPr>
        <w:t xml:space="preserve"> </w:t>
      </w:r>
      <w:r w:rsidR="00B27EF1" w:rsidRPr="0098260F">
        <w:rPr>
          <w:rFonts w:ascii="Candara" w:hAnsi="Candara" w:cs="Arial"/>
          <w:iCs/>
          <w:sz w:val="24"/>
          <w:szCs w:val="24"/>
          <w:lang w:val="es-SV"/>
        </w:rPr>
        <w:t xml:space="preserve"> </w:t>
      </w:r>
      <w:r w:rsidR="00790332">
        <w:rPr>
          <w:rFonts w:ascii="Candara" w:hAnsi="Candara" w:cs="Arial"/>
          <w:iCs/>
          <w:sz w:val="24"/>
          <w:szCs w:val="24"/>
          <w:lang w:val="es-SV"/>
        </w:rPr>
        <w:t xml:space="preserve">Además </w:t>
      </w:r>
      <w:r w:rsidR="00790332" w:rsidRPr="00373CBD">
        <w:rPr>
          <w:rFonts w:ascii="Candara" w:hAnsi="Candara" w:cs="Arial"/>
          <w:iCs/>
          <w:sz w:val="24"/>
          <w:szCs w:val="24"/>
          <w:lang w:val="es-SV"/>
        </w:rPr>
        <w:t>se incluye la transferencia realizada por el Gobierno Central en el mes de septiembre destinada a BANDESAL para Fideicomiso para la Recuperación Económica de las Empresas Salvadoreñas (FIREMPRESA)</w:t>
      </w:r>
      <w:r w:rsidR="00032F0C">
        <w:rPr>
          <w:rFonts w:ascii="Candara" w:hAnsi="Candara" w:cs="Arial"/>
          <w:iCs/>
          <w:sz w:val="24"/>
          <w:szCs w:val="24"/>
          <w:lang w:val="es-SV"/>
        </w:rPr>
        <w:t xml:space="preserve">, </w:t>
      </w:r>
      <w:r w:rsidR="00855AEE">
        <w:rPr>
          <w:rFonts w:ascii="Candara" w:hAnsi="Candara" w:cs="Arial"/>
          <w:iCs/>
          <w:sz w:val="24"/>
          <w:szCs w:val="24"/>
          <w:lang w:val="es-SV"/>
        </w:rPr>
        <w:t xml:space="preserve">donde </w:t>
      </w:r>
      <w:r w:rsidR="00032F0C">
        <w:rPr>
          <w:rFonts w:ascii="Candara" w:hAnsi="Candara" w:cs="Arial"/>
          <w:iCs/>
          <w:sz w:val="24"/>
          <w:szCs w:val="24"/>
          <w:lang w:val="es-SV"/>
        </w:rPr>
        <w:t>uno de los componentes</w:t>
      </w:r>
      <w:r w:rsidR="00790332" w:rsidRPr="00373CBD">
        <w:rPr>
          <w:rFonts w:ascii="Candara" w:hAnsi="Candara" w:cs="Arial"/>
          <w:iCs/>
          <w:sz w:val="24"/>
          <w:szCs w:val="24"/>
          <w:lang w:val="es-SV"/>
        </w:rPr>
        <w:t xml:space="preserve"> </w:t>
      </w:r>
      <w:r w:rsidR="00B76D8D">
        <w:rPr>
          <w:rFonts w:ascii="Candara" w:hAnsi="Candara" w:cs="Arial"/>
          <w:iCs/>
          <w:sz w:val="24"/>
          <w:szCs w:val="24"/>
          <w:lang w:val="es-SV"/>
        </w:rPr>
        <w:t xml:space="preserve">es el </w:t>
      </w:r>
      <w:r w:rsidR="00B76D8D" w:rsidRPr="00373CBD">
        <w:rPr>
          <w:rFonts w:ascii="Candara" w:hAnsi="Candara" w:cs="Arial"/>
          <w:iCs/>
          <w:sz w:val="24"/>
          <w:szCs w:val="24"/>
          <w:lang w:val="es-SV"/>
        </w:rPr>
        <w:t xml:space="preserve">destinado para el Programa de Subsidio </w:t>
      </w:r>
      <w:r w:rsidR="00790332" w:rsidRPr="00373CBD">
        <w:rPr>
          <w:rFonts w:ascii="Candara" w:hAnsi="Candara" w:cs="Arial"/>
          <w:iCs/>
          <w:sz w:val="24"/>
          <w:szCs w:val="24"/>
          <w:lang w:val="es-SV"/>
        </w:rPr>
        <w:t xml:space="preserve">de $140.00 millones para pago de  planilla de </w:t>
      </w:r>
      <w:r w:rsidR="00373CBD" w:rsidRPr="00373CBD">
        <w:rPr>
          <w:rFonts w:ascii="Candara" w:hAnsi="Candara" w:cs="Arial"/>
          <w:iCs/>
          <w:sz w:val="24"/>
          <w:szCs w:val="24"/>
          <w:lang w:val="es-SV"/>
        </w:rPr>
        <w:t>sus</w:t>
      </w:r>
      <w:r w:rsidR="00790332" w:rsidRPr="00373CBD">
        <w:rPr>
          <w:rFonts w:ascii="Candara" w:hAnsi="Candara" w:cs="Arial"/>
          <w:iCs/>
          <w:sz w:val="24"/>
          <w:szCs w:val="24"/>
          <w:lang w:val="es-SV"/>
        </w:rPr>
        <w:t xml:space="preserve"> empleados</w:t>
      </w:r>
      <w:r w:rsidR="00373CBD" w:rsidRPr="00373CBD">
        <w:rPr>
          <w:rFonts w:ascii="Candara" w:hAnsi="Candara" w:cs="Arial"/>
          <w:iCs/>
          <w:sz w:val="24"/>
          <w:szCs w:val="24"/>
          <w:lang w:val="es-SV"/>
        </w:rPr>
        <w:t xml:space="preserve"> de las  MIPYMES</w:t>
      </w:r>
      <w:r w:rsidR="00790332" w:rsidRPr="00373CBD">
        <w:rPr>
          <w:rFonts w:ascii="Candara" w:hAnsi="Candara" w:cs="Arial"/>
          <w:iCs/>
          <w:sz w:val="24"/>
          <w:szCs w:val="24"/>
          <w:lang w:val="es-SV"/>
        </w:rPr>
        <w:t xml:space="preserve"> por dos meses correspondiente al 50% de la nómina mensual</w:t>
      </w:r>
      <w:r w:rsidR="00373CBD">
        <w:rPr>
          <w:rFonts w:ascii="Candara" w:hAnsi="Candara" w:cs="Arial"/>
          <w:iCs/>
          <w:sz w:val="24"/>
          <w:szCs w:val="24"/>
          <w:lang w:val="es-SV"/>
        </w:rPr>
        <w:t>;</w:t>
      </w:r>
      <w:r w:rsidR="00790332" w:rsidRPr="00373CBD">
        <w:rPr>
          <w:rFonts w:ascii="Candara" w:hAnsi="Candara" w:cs="Arial"/>
          <w:iCs/>
          <w:sz w:val="24"/>
          <w:szCs w:val="24"/>
          <w:lang w:val="es-SV"/>
        </w:rPr>
        <w:t xml:space="preserve"> </w:t>
      </w:r>
      <w:r w:rsidR="00B27EF1" w:rsidRPr="0098260F">
        <w:rPr>
          <w:rFonts w:ascii="Candara" w:hAnsi="Candara" w:cs="Arial"/>
          <w:iCs/>
          <w:sz w:val="24"/>
          <w:szCs w:val="24"/>
          <w:lang w:val="es-SV"/>
        </w:rPr>
        <w:t>el pago a Veteranos y ex combatientes $</w:t>
      </w:r>
      <w:r w:rsidR="0013549A">
        <w:rPr>
          <w:rFonts w:ascii="Candara" w:hAnsi="Candara" w:cs="Arial"/>
          <w:iCs/>
          <w:sz w:val="24"/>
          <w:szCs w:val="24"/>
          <w:lang w:val="es-SV"/>
        </w:rPr>
        <w:t>94.6</w:t>
      </w:r>
      <w:r w:rsidR="00B27EF1" w:rsidRPr="0098260F">
        <w:rPr>
          <w:rFonts w:ascii="Candara" w:hAnsi="Candara" w:cs="Arial"/>
          <w:iCs/>
          <w:sz w:val="24"/>
          <w:szCs w:val="24"/>
          <w:lang w:val="es-SV"/>
        </w:rPr>
        <w:t xml:space="preserve"> millones; subsidio</w:t>
      </w:r>
      <w:r w:rsidR="005568F2">
        <w:rPr>
          <w:rFonts w:ascii="Candara" w:hAnsi="Candara" w:cs="Arial"/>
          <w:iCs/>
          <w:sz w:val="24"/>
          <w:szCs w:val="24"/>
          <w:lang w:val="es-SV"/>
        </w:rPr>
        <w:t xml:space="preserve">s, por </w:t>
      </w:r>
      <w:r w:rsidR="00B27EF1" w:rsidRPr="0098260F">
        <w:rPr>
          <w:rFonts w:ascii="Candara" w:hAnsi="Candara" w:cs="Arial"/>
          <w:iCs/>
          <w:sz w:val="24"/>
          <w:szCs w:val="24"/>
          <w:lang w:val="es-SV"/>
        </w:rPr>
        <w:t>$</w:t>
      </w:r>
      <w:r w:rsidR="005568F2">
        <w:rPr>
          <w:rFonts w:ascii="Candara" w:hAnsi="Candara" w:cs="Arial"/>
          <w:iCs/>
          <w:sz w:val="24"/>
          <w:szCs w:val="24"/>
          <w:lang w:val="es-SV"/>
        </w:rPr>
        <w:t>1</w:t>
      </w:r>
      <w:r w:rsidR="0013549A">
        <w:rPr>
          <w:rFonts w:ascii="Candara" w:hAnsi="Candara" w:cs="Arial"/>
          <w:iCs/>
          <w:sz w:val="24"/>
          <w:szCs w:val="24"/>
          <w:lang w:val="es-SV"/>
        </w:rPr>
        <w:t>45.</w:t>
      </w:r>
      <w:r w:rsidR="005568F2">
        <w:rPr>
          <w:rFonts w:ascii="Candara" w:hAnsi="Candara" w:cs="Arial"/>
          <w:iCs/>
          <w:sz w:val="24"/>
          <w:szCs w:val="24"/>
          <w:lang w:val="es-SV"/>
        </w:rPr>
        <w:t>7</w:t>
      </w:r>
      <w:r w:rsidR="00B27EF1" w:rsidRPr="0098260F">
        <w:rPr>
          <w:rFonts w:ascii="Candara" w:hAnsi="Candara" w:cs="Arial"/>
          <w:iCs/>
          <w:sz w:val="24"/>
          <w:szCs w:val="24"/>
          <w:lang w:val="es-SV"/>
        </w:rPr>
        <w:t xml:space="preserve"> millones; transferencia al Instituto de Previsión de la Fuerza Armada (IPSFA) $</w:t>
      </w:r>
      <w:r w:rsidR="0013549A">
        <w:rPr>
          <w:rFonts w:ascii="Candara" w:hAnsi="Candara" w:cs="Arial"/>
          <w:iCs/>
          <w:sz w:val="24"/>
          <w:szCs w:val="24"/>
          <w:lang w:val="es-SV"/>
        </w:rPr>
        <w:t>66.0</w:t>
      </w:r>
      <w:r w:rsidR="00B27EF1" w:rsidRPr="0098260F">
        <w:rPr>
          <w:rFonts w:ascii="Candara" w:hAnsi="Candara" w:cs="Arial"/>
          <w:iCs/>
          <w:sz w:val="24"/>
          <w:szCs w:val="24"/>
          <w:lang w:val="es-SV"/>
        </w:rPr>
        <w:t xml:space="preserve"> millones, </w:t>
      </w:r>
      <w:r w:rsidR="005568F2">
        <w:rPr>
          <w:rFonts w:ascii="Candara" w:hAnsi="Candara" w:cs="Arial"/>
          <w:iCs/>
          <w:sz w:val="24"/>
          <w:szCs w:val="24"/>
          <w:lang w:val="es-SV"/>
        </w:rPr>
        <w:t>d</w:t>
      </w:r>
      <w:r w:rsidR="00B27EF1" w:rsidRPr="0098260F">
        <w:rPr>
          <w:rFonts w:ascii="Candara" w:hAnsi="Candara" w:cs="Arial"/>
          <w:iCs/>
          <w:sz w:val="24"/>
          <w:szCs w:val="24"/>
          <w:lang w:val="es-SV"/>
        </w:rPr>
        <w:t>evoluci</w:t>
      </w:r>
      <w:r w:rsidR="005568F2">
        <w:rPr>
          <w:rFonts w:ascii="Candara" w:hAnsi="Candara" w:cs="Arial"/>
          <w:iCs/>
          <w:sz w:val="24"/>
          <w:szCs w:val="24"/>
          <w:lang w:val="es-SV"/>
        </w:rPr>
        <w:t>ones de impuestos,</w:t>
      </w:r>
      <w:r w:rsidR="00B27EF1" w:rsidRPr="0098260F">
        <w:rPr>
          <w:rFonts w:ascii="Candara" w:hAnsi="Candara" w:cs="Arial"/>
          <w:iCs/>
          <w:sz w:val="24"/>
          <w:szCs w:val="24"/>
          <w:lang w:val="es-SV"/>
        </w:rPr>
        <w:t xml:space="preserve"> $</w:t>
      </w:r>
      <w:r w:rsidR="0013549A">
        <w:rPr>
          <w:rFonts w:ascii="Candara" w:hAnsi="Candara" w:cs="Arial"/>
          <w:iCs/>
          <w:sz w:val="24"/>
          <w:szCs w:val="24"/>
          <w:lang w:val="es-SV"/>
        </w:rPr>
        <w:t>68.2</w:t>
      </w:r>
      <w:r w:rsidR="00B27EF1" w:rsidRPr="0098260F">
        <w:rPr>
          <w:rFonts w:ascii="Candara" w:hAnsi="Candara" w:cs="Arial"/>
          <w:iCs/>
          <w:sz w:val="24"/>
          <w:szCs w:val="24"/>
          <w:lang w:val="es-SV"/>
        </w:rPr>
        <w:t xml:space="preserve"> millones, lisiados y desmovilizados del conflicto armado $</w:t>
      </w:r>
      <w:r w:rsidR="0013549A">
        <w:rPr>
          <w:rFonts w:ascii="Candara" w:hAnsi="Candara" w:cs="Arial"/>
          <w:iCs/>
          <w:sz w:val="24"/>
          <w:szCs w:val="24"/>
          <w:lang w:val="es-SV"/>
        </w:rPr>
        <w:t>51.3</w:t>
      </w:r>
      <w:r w:rsidR="00B27EF1" w:rsidRPr="0098260F">
        <w:rPr>
          <w:rFonts w:ascii="Candara" w:hAnsi="Candara" w:cs="Arial"/>
          <w:iCs/>
          <w:sz w:val="24"/>
          <w:szCs w:val="24"/>
          <w:lang w:val="es-SV"/>
        </w:rPr>
        <w:t xml:space="preserve"> millones, Programa Erradicación de la Pobreza y paquetes escolares suman $</w:t>
      </w:r>
      <w:r w:rsidR="0013549A">
        <w:rPr>
          <w:rFonts w:ascii="Candara" w:hAnsi="Candara" w:cs="Arial"/>
          <w:iCs/>
          <w:sz w:val="24"/>
          <w:szCs w:val="24"/>
          <w:lang w:val="es-SV"/>
        </w:rPr>
        <w:t>69.4</w:t>
      </w:r>
      <w:r w:rsidR="00B27EF1" w:rsidRPr="0098260F">
        <w:rPr>
          <w:rFonts w:ascii="Candara" w:hAnsi="Candara" w:cs="Arial"/>
          <w:iCs/>
          <w:sz w:val="24"/>
          <w:szCs w:val="24"/>
          <w:lang w:val="es-SV"/>
        </w:rPr>
        <w:t xml:space="preserve"> millones</w:t>
      </w:r>
      <w:r w:rsidR="005568F2">
        <w:rPr>
          <w:rFonts w:ascii="Candara" w:hAnsi="Candara" w:cs="Arial"/>
          <w:iCs/>
          <w:sz w:val="24"/>
          <w:szCs w:val="24"/>
          <w:lang w:val="es-SV"/>
        </w:rPr>
        <w:t>,</w:t>
      </w:r>
      <w:r w:rsidR="00B27EF1" w:rsidRPr="0098260F">
        <w:rPr>
          <w:rFonts w:ascii="Candara" w:hAnsi="Candara" w:cs="Arial"/>
          <w:iCs/>
          <w:sz w:val="24"/>
          <w:szCs w:val="24"/>
          <w:lang w:val="es-SV"/>
        </w:rPr>
        <w:t xml:space="preserve"> entre otras.</w:t>
      </w:r>
    </w:p>
    <w:p w:rsidR="00080BF7" w:rsidRPr="00251547" w:rsidRDefault="00080BF7" w:rsidP="004A685A">
      <w:pPr>
        <w:jc w:val="both"/>
        <w:rPr>
          <w:rFonts w:ascii="Candara" w:hAnsi="Candara" w:cs="Arial"/>
          <w:iCs/>
          <w:sz w:val="16"/>
          <w:szCs w:val="16"/>
          <w:lang w:val="es-SV"/>
        </w:rPr>
      </w:pPr>
    </w:p>
    <w:p w:rsidR="00B76D8D" w:rsidRDefault="00B76D8D"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C75E6A" w:rsidRDefault="00C75E6A" w:rsidP="00F5794C">
      <w:pPr>
        <w:jc w:val="center"/>
        <w:rPr>
          <w:rFonts w:ascii="Candara" w:hAnsi="Candara"/>
          <w:sz w:val="24"/>
          <w:szCs w:val="24"/>
          <w:lang w:val="es-SV"/>
        </w:rPr>
      </w:pPr>
    </w:p>
    <w:p w:rsidR="007732BA" w:rsidRDefault="001B1625" w:rsidP="00F5794C">
      <w:pPr>
        <w:jc w:val="center"/>
        <w:rPr>
          <w:rFonts w:ascii="Candara" w:hAnsi="Candara"/>
          <w:sz w:val="24"/>
          <w:szCs w:val="24"/>
          <w:lang w:val="es-MX"/>
        </w:rPr>
      </w:pPr>
      <w:r w:rsidRPr="007F50E2">
        <w:rPr>
          <w:rFonts w:ascii="Candara" w:hAnsi="Candara"/>
          <w:sz w:val="24"/>
          <w:szCs w:val="24"/>
          <w:lang w:val="es-MX"/>
        </w:rPr>
        <w:lastRenderedPageBreak/>
        <w:t xml:space="preserve">Gráfico </w:t>
      </w:r>
      <w:r w:rsidR="006B57E8">
        <w:rPr>
          <w:rFonts w:ascii="Candara" w:hAnsi="Candara"/>
          <w:sz w:val="24"/>
          <w:szCs w:val="24"/>
          <w:lang w:val="es-MX"/>
        </w:rPr>
        <w:t>6</w:t>
      </w:r>
      <w:r w:rsidRPr="007F50E2">
        <w:rPr>
          <w:rFonts w:ascii="Candara" w:hAnsi="Candara"/>
          <w:sz w:val="24"/>
          <w:szCs w:val="24"/>
          <w:lang w:val="es-MX"/>
        </w:rPr>
        <w:t xml:space="preserve">: Composición del gasto corriente del SPNF a </w:t>
      </w:r>
      <w:r w:rsidR="006854AC">
        <w:rPr>
          <w:rFonts w:ascii="Candara" w:hAnsi="Candara"/>
          <w:sz w:val="24"/>
          <w:szCs w:val="24"/>
          <w:lang w:val="es-MX"/>
        </w:rPr>
        <w:t>diciembre</w:t>
      </w:r>
      <w:r w:rsidRPr="007F50E2">
        <w:rPr>
          <w:rFonts w:ascii="Candara" w:hAnsi="Candara"/>
          <w:sz w:val="24"/>
          <w:szCs w:val="24"/>
          <w:lang w:val="es-MX"/>
        </w:rPr>
        <w:t xml:space="preserve"> </w:t>
      </w:r>
      <w:r w:rsidR="00F01373">
        <w:rPr>
          <w:rFonts w:ascii="Candara" w:hAnsi="Candara"/>
          <w:sz w:val="24"/>
          <w:szCs w:val="24"/>
          <w:lang w:val="es-MX"/>
        </w:rPr>
        <w:t>201</w:t>
      </w:r>
      <w:r w:rsidR="00072BB0">
        <w:rPr>
          <w:rFonts w:ascii="Candara" w:hAnsi="Candara"/>
          <w:sz w:val="24"/>
          <w:szCs w:val="24"/>
          <w:lang w:val="es-MX"/>
        </w:rPr>
        <w:t>4</w:t>
      </w:r>
      <w:r w:rsidRPr="007F50E2">
        <w:rPr>
          <w:rFonts w:ascii="Candara" w:hAnsi="Candara"/>
          <w:sz w:val="24"/>
          <w:szCs w:val="24"/>
          <w:lang w:val="es-MX"/>
        </w:rPr>
        <w:t xml:space="preserve"> -20</w:t>
      </w:r>
      <w:r w:rsidR="00072BB0">
        <w:rPr>
          <w:rFonts w:ascii="Candara" w:hAnsi="Candara"/>
          <w:sz w:val="24"/>
          <w:szCs w:val="24"/>
          <w:lang w:val="es-MX"/>
        </w:rPr>
        <w:t>20</w:t>
      </w:r>
      <w:r w:rsidR="00142BDD">
        <w:rPr>
          <w:rFonts w:ascii="Candara" w:hAnsi="Candara"/>
          <w:sz w:val="24"/>
          <w:szCs w:val="24"/>
          <w:lang w:val="es-MX"/>
        </w:rPr>
        <w:t xml:space="preserve"> </w:t>
      </w:r>
    </w:p>
    <w:p w:rsidR="00745752" w:rsidRPr="00251547" w:rsidRDefault="00745752" w:rsidP="00F5794C">
      <w:pPr>
        <w:jc w:val="center"/>
        <w:rPr>
          <w:rFonts w:ascii="Candara" w:hAnsi="Candara"/>
          <w:sz w:val="16"/>
          <w:szCs w:val="16"/>
          <w:lang w:val="es-MX"/>
        </w:rPr>
      </w:pPr>
    </w:p>
    <w:p w:rsidR="001B1625" w:rsidRPr="007F50E2" w:rsidRDefault="00D15ED9" w:rsidP="007732BA">
      <w:pPr>
        <w:jc w:val="center"/>
        <w:rPr>
          <w:rFonts w:ascii="Candara" w:hAnsi="Candara"/>
          <w:sz w:val="24"/>
          <w:szCs w:val="24"/>
          <w:lang w:val="es-MX"/>
        </w:rPr>
      </w:pPr>
      <w:r w:rsidRPr="00D15ED9">
        <w:rPr>
          <w:noProof/>
        </w:rPr>
        <w:drawing>
          <wp:inline distT="0" distB="0" distL="0" distR="0" wp14:anchorId="16B5D962" wp14:editId="4DEA956F">
            <wp:extent cx="4564380" cy="2735580"/>
            <wp:effectExtent l="0" t="0" r="762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4380" cy="2735580"/>
                    </a:xfrm>
                    <a:prstGeom prst="rect">
                      <a:avLst/>
                    </a:prstGeom>
                    <a:noFill/>
                    <a:ln>
                      <a:noFill/>
                    </a:ln>
                  </pic:spPr>
                </pic:pic>
              </a:graphicData>
            </a:graphic>
          </wp:inline>
        </w:drawing>
      </w:r>
    </w:p>
    <w:p w:rsidR="00617FA7" w:rsidRDefault="00617FA7" w:rsidP="0098260F">
      <w:pPr>
        <w:pStyle w:val="BodyText2"/>
        <w:spacing w:after="0" w:line="240" w:lineRule="auto"/>
        <w:ind w:right="-32"/>
        <w:jc w:val="both"/>
        <w:rPr>
          <w:rFonts w:ascii="Candara" w:hAnsi="Candara" w:cs="Arial"/>
          <w:iCs/>
          <w:sz w:val="24"/>
          <w:szCs w:val="24"/>
          <w:lang w:val="es-SV"/>
        </w:rPr>
      </w:pPr>
    </w:p>
    <w:p w:rsidR="0098260F" w:rsidRDefault="002C3C06" w:rsidP="0098260F">
      <w:pPr>
        <w:pStyle w:val="BodyText2"/>
        <w:spacing w:after="0" w:line="240" w:lineRule="auto"/>
        <w:ind w:right="-32"/>
        <w:jc w:val="both"/>
        <w:rPr>
          <w:rFonts w:ascii="Candara" w:hAnsi="Candara" w:cs="Arial"/>
          <w:iCs/>
          <w:sz w:val="24"/>
          <w:szCs w:val="24"/>
          <w:lang w:val="es-SV"/>
        </w:rPr>
      </w:pPr>
      <w:r w:rsidRPr="0098260F">
        <w:rPr>
          <w:rFonts w:ascii="Candara" w:hAnsi="Candara" w:cs="Arial"/>
          <w:iCs/>
          <w:sz w:val="24"/>
          <w:szCs w:val="24"/>
          <w:lang w:val="es-SV"/>
        </w:rPr>
        <w:t>En la siguiente grafica se</w:t>
      </w:r>
      <w:r w:rsidR="009D780D" w:rsidRPr="0098260F">
        <w:rPr>
          <w:rFonts w:ascii="Candara" w:hAnsi="Candara" w:cs="Arial"/>
          <w:iCs/>
          <w:sz w:val="24"/>
          <w:szCs w:val="24"/>
          <w:lang w:val="es-SV"/>
        </w:rPr>
        <w:t xml:space="preserve"> </w:t>
      </w:r>
      <w:r w:rsidRPr="0098260F">
        <w:rPr>
          <w:rFonts w:ascii="Candara" w:hAnsi="Candara" w:cs="Arial"/>
          <w:iCs/>
          <w:sz w:val="24"/>
          <w:szCs w:val="24"/>
          <w:lang w:val="es-SV"/>
        </w:rPr>
        <w:t>present</w:t>
      </w:r>
      <w:r w:rsidR="009D780D" w:rsidRPr="0098260F">
        <w:rPr>
          <w:rFonts w:ascii="Candara" w:hAnsi="Candara" w:cs="Arial"/>
          <w:iCs/>
          <w:sz w:val="24"/>
          <w:szCs w:val="24"/>
          <w:lang w:val="es-SV"/>
        </w:rPr>
        <w:t>a</w:t>
      </w:r>
      <w:r w:rsidRPr="0098260F">
        <w:rPr>
          <w:rFonts w:ascii="Candara" w:hAnsi="Candara" w:cs="Arial"/>
          <w:iCs/>
          <w:sz w:val="24"/>
          <w:szCs w:val="24"/>
          <w:lang w:val="es-SV"/>
        </w:rPr>
        <w:t xml:space="preserve"> la evolución de los subsidios </w:t>
      </w:r>
      <w:r w:rsidR="007E397A">
        <w:rPr>
          <w:rFonts w:ascii="Candara" w:hAnsi="Candara" w:cs="Arial"/>
          <w:iCs/>
          <w:sz w:val="24"/>
          <w:szCs w:val="24"/>
          <w:lang w:val="es-SV"/>
        </w:rPr>
        <w:t>durante el período 2014 -2020</w:t>
      </w:r>
      <w:r w:rsidRPr="0098260F">
        <w:rPr>
          <w:rFonts w:ascii="Candara" w:hAnsi="Candara" w:cs="Arial"/>
          <w:iCs/>
          <w:sz w:val="24"/>
          <w:szCs w:val="24"/>
          <w:lang w:val="es-SV"/>
        </w:rPr>
        <w:t xml:space="preserve">, </w:t>
      </w:r>
      <w:r w:rsidR="00386BC0" w:rsidRPr="0098260F">
        <w:rPr>
          <w:rFonts w:ascii="Candara" w:hAnsi="Candara" w:cs="Arial"/>
          <w:iCs/>
          <w:sz w:val="24"/>
          <w:szCs w:val="24"/>
          <w:lang w:val="es-SV"/>
        </w:rPr>
        <w:t>en donde se observa</w:t>
      </w:r>
      <w:r w:rsidRPr="0098260F">
        <w:rPr>
          <w:rFonts w:ascii="Candara" w:hAnsi="Candara" w:cs="Arial"/>
          <w:iCs/>
          <w:sz w:val="24"/>
          <w:szCs w:val="24"/>
          <w:lang w:val="es-SV"/>
        </w:rPr>
        <w:t xml:space="preserve"> una tendencia decreciente</w:t>
      </w:r>
      <w:r w:rsidR="009D780D" w:rsidRPr="0098260F">
        <w:rPr>
          <w:rFonts w:ascii="Candara" w:hAnsi="Candara" w:cs="Arial"/>
          <w:iCs/>
          <w:sz w:val="24"/>
          <w:szCs w:val="24"/>
          <w:lang w:val="es-SV"/>
        </w:rPr>
        <w:t xml:space="preserve"> al pasar de </w:t>
      </w:r>
      <w:r w:rsidR="00FC2421" w:rsidRPr="0098260F">
        <w:rPr>
          <w:rFonts w:ascii="Candara" w:hAnsi="Candara" w:cs="Arial"/>
          <w:iCs/>
          <w:sz w:val="24"/>
          <w:szCs w:val="24"/>
          <w:lang w:val="es-SV"/>
        </w:rPr>
        <w:t>1.</w:t>
      </w:r>
      <w:r w:rsidR="000B31AE">
        <w:rPr>
          <w:rFonts w:ascii="Candara" w:hAnsi="Candara" w:cs="Arial"/>
          <w:iCs/>
          <w:sz w:val="24"/>
          <w:szCs w:val="24"/>
          <w:lang w:val="es-SV"/>
        </w:rPr>
        <w:t>4</w:t>
      </w:r>
      <w:r w:rsidR="009D780D" w:rsidRPr="0098260F">
        <w:rPr>
          <w:rFonts w:ascii="Candara" w:hAnsi="Candara" w:cs="Arial"/>
          <w:iCs/>
          <w:sz w:val="24"/>
          <w:szCs w:val="24"/>
          <w:lang w:val="es-SV"/>
        </w:rPr>
        <w:t xml:space="preserve">% </w:t>
      </w:r>
      <w:r w:rsidR="005C4917">
        <w:rPr>
          <w:rFonts w:ascii="Candara" w:hAnsi="Candara" w:cs="Arial"/>
          <w:iCs/>
          <w:sz w:val="24"/>
          <w:szCs w:val="24"/>
          <w:lang w:val="es-SV"/>
        </w:rPr>
        <w:t xml:space="preserve">con respecto </w:t>
      </w:r>
      <w:r w:rsidR="009D780D" w:rsidRPr="0098260F">
        <w:rPr>
          <w:rFonts w:ascii="Candara" w:hAnsi="Candara" w:cs="Arial"/>
          <w:iCs/>
          <w:sz w:val="24"/>
          <w:szCs w:val="24"/>
          <w:lang w:val="es-SV"/>
        </w:rPr>
        <w:t xml:space="preserve">del PIB </w:t>
      </w:r>
      <w:r w:rsidR="00151722" w:rsidRPr="0098260F">
        <w:rPr>
          <w:rFonts w:ascii="Candara" w:hAnsi="Candara" w:cs="Arial"/>
          <w:iCs/>
          <w:sz w:val="24"/>
          <w:szCs w:val="24"/>
          <w:lang w:val="es-SV"/>
        </w:rPr>
        <w:t xml:space="preserve">en 2014 </w:t>
      </w:r>
      <w:r w:rsidR="009D780D" w:rsidRPr="0098260F">
        <w:rPr>
          <w:rFonts w:ascii="Candara" w:hAnsi="Candara" w:cs="Arial"/>
          <w:iCs/>
          <w:sz w:val="24"/>
          <w:szCs w:val="24"/>
          <w:lang w:val="es-SV"/>
        </w:rPr>
        <w:t>a 0.</w:t>
      </w:r>
      <w:r w:rsidR="000B31AE">
        <w:rPr>
          <w:rFonts w:ascii="Candara" w:hAnsi="Candara" w:cs="Arial"/>
          <w:iCs/>
          <w:sz w:val="24"/>
          <w:szCs w:val="24"/>
          <w:lang w:val="es-SV"/>
        </w:rPr>
        <w:t>6</w:t>
      </w:r>
      <w:r w:rsidR="009D780D" w:rsidRPr="0098260F">
        <w:rPr>
          <w:rFonts w:ascii="Candara" w:hAnsi="Candara" w:cs="Arial"/>
          <w:iCs/>
          <w:sz w:val="24"/>
          <w:szCs w:val="24"/>
          <w:lang w:val="es-SV"/>
        </w:rPr>
        <w:t xml:space="preserve">% </w:t>
      </w:r>
      <w:r w:rsidR="005767D6" w:rsidRPr="0098260F">
        <w:rPr>
          <w:rFonts w:ascii="Candara" w:hAnsi="Candara" w:cs="Arial"/>
          <w:iCs/>
          <w:sz w:val="24"/>
          <w:szCs w:val="24"/>
          <w:lang w:val="es-SV"/>
        </w:rPr>
        <w:t xml:space="preserve">a </w:t>
      </w:r>
      <w:r w:rsidR="006854AC">
        <w:rPr>
          <w:rFonts w:ascii="Candara" w:hAnsi="Candara" w:cs="Arial"/>
          <w:iCs/>
          <w:sz w:val="24"/>
          <w:szCs w:val="24"/>
          <w:lang w:val="es-SV"/>
        </w:rPr>
        <w:t>diciembre</w:t>
      </w:r>
      <w:r w:rsidR="005767D6" w:rsidRPr="0098260F">
        <w:rPr>
          <w:rFonts w:ascii="Candara" w:hAnsi="Candara" w:cs="Arial"/>
          <w:iCs/>
          <w:sz w:val="24"/>
          <w:szCs w:val="24"/>
          <w:lang w:val="es-SV"/>
        </w:rPr>
        <w:t xml:space="preserve"> </w:t>
      </w:r>
      <w:r w:rsidR="00042C94" w:rsidRPr="0098260F">
        <w:rPr>
          <w:rFonts w:ascii="Candara" w:hAnsi="Candara" w:cs="Arial"/>
          <w:iCs/>
          <w:sz w:val="24"/>
          <w:szCs w:val="24"/>
          <w:lang w:val="es-SV"/>
        </w:rPr>
        <w:t>2020</w:t>
      </w:r>
      <w:r w:rsidR="009D780D" w:rsidRPr="0098260F">
        <w:rPr>
          <w:rFonts w:ascii="Candara" w:hAnsi="Candara" w:cs="Arial"/>
          <w:iCs/>
          <w:sz w:val="24"/>
          <w:szCs w:val="24"/>
          <w:lang w:val="es-SV"/>
        </w:rPr>
        <w:t>.</w:t>
      </w:r>
      <w:r w:rsidR="0098260F" w:rsidRPr="0098260F">
        <w:rPr>
          <w:rFonts w:ascii="Candara" w:hAnsi="Candara" w:cs="Arial"/>
          <w:iCs/>
          <w:sz w:val="24"/>
          <w:szCs w:val="24"/>
          <w:lang w:val="es-SV"/>
        </w:rPr>
        <w:t xml:space="preserve"> De forma detallada los subsidios ascienden a $1</w:t>
      </w:r>
      <w:r w:rsidR="000B31AE">
        <w:rPr>
          <w:rFonts w:ascii="Candara" w:hAnsi="Candara" w:cs="Arial"/>
          <w:iCs/>
          <w:sz w:val="24"/>
          <w:szCs w:val="24"/>
          <w:lang w:val="es-SV"/>
        </w:rPr>
        <w:t>45.7</w:t>
      </w:r>
      <w:r w:rsidR="0098260F" w:rsidRPr="0098260F">
        <w:rPr>
          <w:rFonts w:ascii="Candara" w:hAnsi="Candara" w:cs="Arial"/>
          <w:iCs/>
          <w:sz w:val="24"/>
          <w:szCs w:val="24"/>
          <w:lang w:val="es-SV"/>
        </w:rPr>
        <w:t xml:space="preserve"> millones, disminuyendo en $</w:t>
      </w:r>
      <w:r w:rsidR="000B31AE">
        <w:rPr>
          <w:rFonts w:ascii="Candara" w:hAnsi="Candara" w:cs="Arial"/>
          <w:iCs/>
          <w:sz w:val="24"/>
          <w:szCs w:val="24"/>
          <w:lang w:val="es-SV"/>
        </w:rPr>
        <w:t>29.7</w:t>
      </w:r>
      <w:r w:rsidR="0098260F" w:rsidRPr="0098260F">
        <w:rPr>
          <w:rFonts w:ascii="Candara" w:hAnsi="Candara" w:cs="Arial"/>
          <w:iCs/>
          <w:sz w:val="24"/>
          <w:szCs w:val="24"/>
          <w:lang w:val="es-SV"/>
        </w:rPr>
        <w:t xml:space="preserve"> millones con respecto a 2019, reducción que se refleja</w:t>
      </w:r>
      <w:r w:rsidR="005C4917">
        <w:rPr>
          <w:rFonts w:ascii="Candara" w:hAnsi="Candara" w:cs="Arial"/>
          <w:iCs/>
          <w:sz w:val="24"/>
          <w:szCs w:val="24"/>
          <w:lang w:val="es-SV"/>
        </w:rPr>
        <w:t xml:space="preserve"> en </w:t>
      </w:r>
      <w:r w:rsidR="0098260F" w:rsidRPr="0098260F">
        <w:rPr>
          <w:rFonts w:ascii="Candara" w:hAnsi="Candara" w:cs="Arial"/>
          <w:iCs/>
          <w:sz w:val="24"/>
          <w:szCs w:val="24"/>
          <w:lang w:val="es-SV"/>
        </w:rPr>
        <w:t>la mayoría de subsidios</w:t>
      </w:r>
      <w:r w:rsidR="00BA5EDD">
        <w:rPr>
          <w:rFonts w:ascii="Candara" w:hAnsi="Candara" w:cs="Arial"/>
          <w:iCs/>
          <w:sz w:val="24"/>
          <w:szCs w:val="24"/>
          <w:lang w:val="es-SV"/>
        </w:rPr>
        <w:t xml:space="preserve">, donde el </w:t>
      </w:r>
      <w:r w:rsidR="00B76D8D">
        <w:rPr>
          <w:rFonts w:ascii="Candara" w:hAnsi="Candara" w:cs="Arial"/>
          <w:iCs/>
          <w:sz w:val="24"/>
          <w:szCs w:val="24"/>
          <w:lang w:val="es-SV"/>
        </w:rPr>
        <w:t xml:space="preserve">del </w:t>
      </w:r>
      <w:r w:rsidR="000B31AE">
        <w:rPr>
          <w:rFonts w:ascii="Candara" w:hAnsi="Candara" w:cs="Arial"/>
          <w:iCs/>
          <w:sz w:val="24"/>
          <w:szCs w:val="24"/>
          <w:lang w:val="es-SV"/>
        </w:rPr>
        <w:t>transporte público</w:t>
      </w:r>
      <w:r w:rsidR="00BA5EDD">
        <w:rPr>
          <w:rFonts w:ascii="Candara" w:hAnsi="Candara" w:cs="Arial"/>
          <w:iCs/>
          <w:sz w:val="24"/>
          <w:szCs w:val="24"/>
          <w:lang w:val="es-SV"/>
        </w:rPr>
        <w:t xml:space="preserve"> registró $</w:t>
      </w:r>
      <w:r w:rsidR="000B31AE">
        <w:rPr>
          <w:rFonts w:ascii="Candara" w:hAnsi="Candara" w:cs="Arial"/>
          <w:iCs/>
          <w:sz w:val="24"/>
          <w:szCs w:val="24"/>
          <w:lang w:val="es-SV"/>
        </w:rPr>
        <w:t>14.6</w:t>
      </w:r>
      <w:r w:rsidR="00BA5EDD">
        <w:rPr>
          <w:rFonts w:ascii="Candara" w:hAnsi="Candara" w:cs="Arial"/>
          <w:iCs/>
          <w:sz w:val="24"/>
          <w:szCs w:val="24"/>
          <w:lang w:val="es-SV"/>
        </w:rPr>
        <w:t xml:space="preserve"> millones menos con relación al mismo mes del año anterior</w:t>
      </w:r>
      <w:r w:rsidR="00B76D8D">
        <w:rPr>
          <w:rFonts w:ascii="Candara" w:hAnsi="Candara" w:cs="Arial"/>
          <w:iCs/>
          <w:sz w:val="24"/>
          <w:szCs w:val="24"/>
          <w:lang w:val="es-SV"/>
        </w:rPr>
        <w:t>, debido a la suspensión del subsidio observada en el mes de julio</w:t>
      </w:r>
      <w:r w:rsidR="0098260F" w:rsidRPr="0098260F">
        <w:rPr>
          <w:rFonts w:ascii="Candara" w:hAnsi="Candara" w:cs="Arial"/>
          <w:iCs/>
          <w:sz w:val="24"/>
          <w:szCs w:val="24"/>
          <w:lang w:val="es-SV"/>
        </w:rPr>
        <w:t>. En lo que se refiere a las devoluciones de impuestos, éstas registraron un monto de $</w:t>
      </w:r>
      <w:r w:rsidR="000B31AE">
        <w:rPr>
          <w:rFonts w:ascii="Candara" w:hAnsi="Candara" w:cs="Arial"/>
          <w:iCs/>
          <w:sz w:val="24"/>
          <w:szCs w:val="24"/>
          <w:lang w:val="es-SV"/>
        </w:rPr>
        <w:t>68.2</w:t>
      </w:r>
      <w:r w:rsidR="0098260F" w:rsidRPr="0098260F">
        <w:rPr>
          <w:rFonts w:ascii="Candara" w:hAnsi="Candara" w:cs="Arial"/>
          <w:iCs/>
          <w:sz w:val="24"/>
          <w:szCs w:val="24"/>
          <w:lang w:val="es-SV"/>
        </w:rPr>
        <w:t xml:space="preserve"> millones con una disminución con respecto al año anterior de </w:t>
      </w:r>
      <w:r w:rsidR="0098260F" w:rsidRPr="00790332">
        <w:rPr>
          <w:rFonts w:ascii="Candara" w:hAnsi="Candara" w:cs="Arial"/>
          <w:iCs/>
          <w:sz w:val="24"/>
          <w:szCs w:val="24"/>
          <w:lang w:val="es-SV"/>
        </w:rPr>
        <w:t xml:space="preserve">$76.6 millones, reflejado </w:t>
      </w:r>
      <w:r w:rsidR="00790332" w:rsidRPr="00790332">
        <w:rPr>
          <w:rFonts w:ascii="Candara" w:hAnsi="Candara" w:cs="Arial"/>
          <w:iCs/>
          <w:sz w:val="24"/>
          <w:szCs w:val="24"/>
          <w:lang w:val="es-SV"/>
        </w:rPr>
        <w:t>principalmente</w:t>
      </w:r>
      <w:r w:rsidR="0098260F" w:rsidRPr="00790332">
        <w:rPr>
          <w:rFonts w:ascii="Candara" w:hAnsi="Candara" w:cs="Arial"/>
          <w:iCs/>
          <w:sz w:val="24"/>
          <w:szCs w:val="24"/>
          <w:lang w:val="es-SV"/>
        </w:rPr>
        <w:t xml:space="preserve"> en la devolución de IVA que reporta a</w:t>
      </w:r>
      <w:r w:rsidR="00B76D8D">
        <w:rPr>
          <w:rFonts w:ascii="Candara" w:hAnsi="Candara" w:cs="Arial"/>
          <w:iCs/>
          <w:sz w:val="24"/>
          <w:szCs w:val="24"/>
          <w:lang w:val="es-SV"/>
        </w:rPr>
        <w:t xml:space="preserve">l mes de </w:t>
      </w:r>
      <w:r w:rsidR="006854AC" w:rsidRPr="00790332">
        <w:rPr>
          <w:rFonts w:ascii="Candara" w:hAnsi="Candara" w:cs="Arial"/>
          <w:iCs/>
          <w:sz w:val="24"/>
          <w:szCs w:val="24"/>
          <w:lang w:val="es-SV"/>
        </w:rPr>
        <w:t>diciembre</w:t>
      </w:r>
      <w:r w:rsidR="0098260F" w:rsidRPr="00790332">
        <w:rPr>
          <w:rFonts w:ascii="Candara" w:hAnsi="Candara" w:cs="Arial"/>
          <w:iCs/>
          <w:sz w:val="24"/>
          <w:szCs w:val="24"/>
          <w:lang w:val="es-SV"/>
        </w:rPr>
        <w:t xml:space="preserve"> una reducción de $</w:t>
      </w:r>
      <w:r w:rsidR="00790332" w:rsidRPr="00790332">
        <w:rPr>
          <w:rFonts w:ascii="Candara" w:hAnsi="Candara" w:cs="Arial"/>
          <w:iCs/>
          <w:sz w:val="24"/>
          <w:szCs w:val="24"/>
          <w:lang w:val="es-SV"/>
        </w:rPr>
        <w:t>75.2</w:t>
      </w:r>
      <w:r w:rsidR="0098260F" w:rsidRPr="00790332">
        <w:rPr>
          <w:rFonts w:ascii="Candara" w:hAnsi="Candara" w:cs="Arial"/>
          <w:iCs/>
          <w:sz w:val="24"/>
          <w:szCs w:val="24"/>
          <w:lang w:val="es-SV"/>
        </w:rPr>
        <w:t xml:space="preserve"> millones.</w:t>
      </w:r>
    </w:p>
    <w:p w:rsidR="001B1625" w:rsidRPr="00745752" w:rsidRDefault="001B1625" w:rsidP="004A685A">
      <w:pPr>
        <w:jc w:val="both"/>
        <w:rPr>
          <w:rFonts w:ascii="Candara" w:hAnsi="Candara"/>
          <w:sz w:val="16"/>
          <w:szCs w:val="16"/>
          <w:lang w:val="es-SV"/>
        </w:rPr>
      </w:pPr>
    </w:p>
    <w:p w:rsidR="009D780D" w:rsidRDefault="009D780D" w:rsidP="00386BC0">
      <w:pPr>
        <w:jc w:val="center"/>
        <w:rPr>
          <w:rFonts w:ascii="Candara" w:hAnsi="Candara"/>
          <w:sz w:val="24"/>
          <w:szCs w:val="24"/>
          <w:lang w:val="es-MX"/>
        </w:rPr>
      </w:pPr>
      <w:r w:rsidRPr="007F50E2">
        <w:rPr>
          <w:rFonts w:ascii="Candara" w:hAnsi="Candara"/>
          <w:sz w:val="24"/>
          <w:szCs w:val="24"/>
          <w:lang w:val="es-MX"/>
        </w:rPr>
        <w:t xml:space="preserve">Gráfico </w:t>
      </w:r>
      <w:r w:rsidR="006B57E8">
        <w:rPr>
          <w:rFonts w:ascii="Candara" w:hAnsi="Candara"/>
          <w:sz w:val="24"/>
          <w:szCs w:val="24"/>
          <w:lang w:val="es-MX"/>
        </w:rPr>
        <w:t>7</w:t>
      </w:r>
      <w:r w:rsidRPr="007F50E2">
        <w:rPr>
          <w:rFonts w:ascii="Candara" w:hAnsi="Candara"/>
          <w:sz w:val="24"/>
          <w:szCs w:val="24"/>
          <w:lang w:val="es-MX"/>
        </w:rPr>
        <w:t xml:space="preserve">: Subsidios a servicios básicos a </w:t>
      </w:r>
      <w:r w:rsidR="006854AC">
        <w:rPr>
          <w:rFonts w:ascii="Candara" w:hAnsi="Candara"/>
          <w:sz w:val="24"/>
          <w:szCs w:val="24"/>
          <w:lang w:val="es-MX"/>
        </w:rPr>
        <w:t>diciembre</w:t>
      </w:r>
      <w:r w:rsidRPr="007F50E2">
        <w:rPr>
          <w:rFonts w:ascii="Candara" w:hAnsi="Candara"/>
          <w:sz w:val="24"/>
          <w:szCs w:val="24"/>
          <w:lang w:val="es-MX"/>
        </w:rPr>
        <w:t xml:space="preserve"> de 20</w:t>
      </w:r>
      <w:r w:rsidR="00151722">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2020</w:t>
      </w:r>
    </w:p>
    <w:p w:rsidR="00AF3BC8" w:rsidRPr="007F50E2" w:rsidRDefault="00D15ED9" w:rsidP="00386BC0">
      <w:pPr>
        <w:jc w:val="center"/>
        <w:rPr>
          <w:rFonts w:ascii="Candara" w:hAnsi="Candara"/>
          <w:sz w:val="24"/>
          <w:szCs w:val="24"/>
          <w:lang w:val="es-MX"/>
        </w:rPr>
      </w:pPr>
      <w:r w:rsidRPr="00D15ED9">
        <w:rPr>
          <w:noProof/>
        </w:rPr>
        <w:drawing>
          <wp:inline distT="0" distB="0" distL="0" distR="0" wp14:anchorId="3106D395" wp14:editId="5467B2D4">
            <wp:extent cx="4825365" cy="2812415"/>
            <wp:effectExtent l="0" t="0" r="0"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5365" cy="2812415"/>
                    </a:xfrm>
                    <a:prstGeom prst="rect">
                      <a:avLst/>
                    </a:prstGeom>
                    <a:noFill/>
                    <a:ln>
                      <a:noFill/>
                    </a:ln>
                  </pic:spPr>
                </pic:pic>
              </a:graphicData>
            </a:graphic>
          </wp:inline>
        </w:drawing>
      </w:r>
    </w:p>
    <w:p w:rsidR="009D780D" w:rsidRPr="007F50E2" w:rsidRDefault="009D780D" w:rsidP="00AF3BC8">
      <w:pPr>
        <w:jc w:val="center"/>
        <w:rPr>
          <w:rFonts w:ascii="Candara" w:hAnsi="Candara"/>
          <w:sz w:val="24"/>
          <w:szCs w:val="24"/>
          <w:lang w:val="es-MX"/>
        </w:rPr>
      </w:pPr>
    </w:p>
    <w:p w:rsidR="00080BF7" w:rsidRDefault="00080BF7" w:rsidP="00E75292">
      <w:pPr>
        <w:jc w:val="center"/>
        <w:rPr>
          <w:rFonts w:ascii="Candara" w:hAnsi="Candara"/>
          <w:b/>
          <w:sz w:val="24"/>
          <w:szCs w:val="24"/>
          <w:lang w:val="es-MX"/>
        </w:rPr>
      </w:pPr>
    </w:p>
    <w:p w:rsidR="00E75292" w:rsidRPr="007F50E2" w:rsidRDefault="007322EB" w:rsidP="00E75292">
      <w:pPr>
        <w:jc w:val="center"/>
        <w:rPr>
          <w:rFonts w:ascii="Candara" w:hAnsi="Candara"/>
          <w:b/>
          <w:sz w:val="24"/>
          <w:szCs w:val="24"/>
          <w:lang w:val="es-MX"/>
        </w:rPr>
      </w:pPr>
      <w:r w:rsidRPr="007F50E2">
        <w:rPr>
          <w:rFonts w:ascii="Candara" w:hAnsi="Candara"/>
          <w:b/>
          <w:sz w:val="24"/>
          <w:szCs w:val="24"/>
          <w:lang w:val="es-MX"/>
        </w:rPr>
        <w:t>T</w:t>
      </w:r>
      <w:r w:rsidR="004F29B4" w:rsidRPr="007F50E2">
        <w:rPr>
          <w:rFonts w:ascii="Candara" w:hAnsi="Candara"/>
          <w:b/>
          <w:sz w:val="24"/>
          <w:szCs w:val="24"/>
          <w:lang w:val="es-MX"/>
        </w:rPr>
        <w:t xml:space="preserve">abla No. </w:t>
      </w:r>
      <w:r w:rsidR="006B57E8">
        <w:rPr>
          <w:rFonts w:ascii="Candara" w:hAnsi="Candara"/>
          <w:b/>
          <w:sz w:val="24"/>
          <w:szCs w:val="24"/>
          <w:lang w:val="es-MX"/>
        </w:rPr>
        <w:t>3</w:t>
      </w:r>
      <w:r w:rsidR="00F14F4B" w:rsidRPr="007F50E2">
        <w:rPr>
          <w:rFonts w:ascii="Candara" w:hAnsi="Candara"/>
          <w:b/>
          <w:sz w:val="24"/>
          <w:szCs w:val="24"/>
          <w:lang w:val="es-MX"/>
        </w:rPr>
        <w:t xml:space="preserve">: </w:t>
      </w:r>
      <w:r w:rsidR="00E75292" w:rsidRPr="007F50E2">
        <w:rPr>
          <w:rFonts w:ascii="Candara" w:hAnsi="Candara"/>
          <w:b/>
          <w:sz w:val="24"/>
          <w:szCs w:val="24"/>
          <w:lang w:val="es-MX"/>
        </w:rPr>
        <w:t xml:space="preserve">Subsidios y Devoluciones de </w:t>
      </w:r>
      <w:r w:rsidR="00546F81" w:rsidRPr="007F50E2">
        <w:rPr>
          <w:rFonts w:ascii="Candara" w:hAnsi="Candara"/>
          <w:b/>
          <w:sz w:val="24"/>
          <w:szCs w:val="24"/>
          <w:lang w:val="es-MX"/>
        </w:rPr>
        <w:t>Impuestos a</w:t>
      </w:r>
      <w:r w:rsidR="00E75292" w:rsidRPr="007F50E2">
        <w:rPr>
          <w:rFonts w:ascii="Candara" w:hAnsi="Candara"/>
          <w:b/>
          <w:sz w:val="24"/>
          <w:szCs w:val="24"/>
          <w:lang w:val="es-MX"/>
        </w:rPr>
        <w:t xml:space="preserve"> </w:t>
      </w:r>
      <w:r w:rsidR="006854AC">
        <w:rPr>
          <w:rFonts w:ascii="Candara" w:hAnsi="Candara"/>
          <w:b/>
          <w:sz w:val="24"/>
          <w:szCs w:val="24"/>
          <w:lang w:val="es-MX"/>
        </w:rPr>
        <w:t>diciembre</w:t>
      </w:r>
      <w:r w:rsidR="00E75292" w:rsidRPr="007F50E2">
        <w:rPr>
          <w:rFonts w:ascii="Candara" w:hAnsi="Candara"/>
          <w:b/>
          <w:sz w:val="24"/>
          <w:szCs w:val="24"/>
          <w:lang w:val="es-MX"/>
        </w:rPr>
        <w:t xml:space="preserve"> de 20</w:t>
      </w:r>
      <w:r w:rsidR="00072BB0">
        <w:rPr>
          <w:rFonts w:ascii="Candara" w:hAnsi="Candara"/>
          <w:b/>
          <w:sz w:val="24"/>
          <w:szCs w:val="24"/>
          <w:lang w:val="es-MX"/>
        </w:rPr>
        <w:t>14</w:t>
      </w:r>
      <w:r w:rsidR="00E75292" w:rsidRPr="007F50E2">
        <w:rPr>
          <w:rFonts w:ascii="Candara" w:hAnsi="Candara"/>
          <w:b/>
          <w:sz w:val="24"/>
          <w:szCs w:val="24"/>
          <w:lang w:val="es-MX"/>
        </w:rPr>
        <w:t xml:space="preserve"> -20</w:t>
      </w:r>
      <w:r w:rsidR="00072BB0">
        <w:rPr>
          <w:rFonts w:ascii="Candara" w:hAnsi="Candara"/>
          <w:b/>
          <w:sz w:val="24"/>
          <w:szCs w:val="24"/>
          <w:lang w:val="es-MX"/>
        </w:rPr>
        <w:t>20</w:t>
      </w:r>
    </w:p>
    <w:p w:rsidR="00123067" w:rsidRDefault="00E75292" w:rsidP="00E75292">
      <w:pPr>
        <w:jc w:val="center"/>
        <w:rPr>
          <w:rFonts w:ascii="Candara" w:hAnsi="Candara"/>
          <w:b/>
          <w:sz w:val="24"/>
          <w:szCs w:val="24"/>
          <w:lang w:val="es-MX"/>
        </w:rPr>
      </w:pPr>
      <w:r w:rsidRPr="007F50E2">
        <w:rPr>
          <w:rFonts w:ascii="Candara" w:hAnsi="Candara"/>
          <w:b/>
          <w:sz w:val="24"/>
          <w:szCs w:val="24"/>
          <w:lang w:val="es-MX"/>
        </w:rPr>
        <w:t>Millones de $</w:t>
      </w:r>
    </w:p>
    <w:p w:rsidR="00123067" w:rsidRPr="003E7EAD" w:rsidRDefault="00123067" w:rsidP="00E75292">
      <w:pPr>
        <w:jc w:val="center"/>
        <w:rPr>
          <w:rFonts w:ascii="Candara" w:hAnsi="Candara"/>
          <w:b/>
          <w:sz w:val="16"/>
          <w:szCs w:val="16"/>
          <w:lang w:val="es-MX"/>
        </w:rPr>
      </w:pPr>
    </w:p>
    <w:p w:rsidR="00E75292" w:rsidRPr="007F50E2" w:rsidRDefault="00D15ED9" w:rsidP="00E75292">
      <w:pPr>
        <w:jc w:val="center"/>
        <w:rPr>
          <w:rFonts w:ascii="Candara" w:hAnsi="Candara"/>
          <w:b/>
          <w:sz w:val="24"/>
          <w:szCs w:val="24"/>
          <w:lang w:val="es-MX"/>
        </w:rPr>
      </w:pPr>
      <w:r w:rsidRPr="00D15ED9">
        <w:rPr>
          <w:noProof/>
        </w:rPr>
        <w:drawing>
          <wp:inline distT="0" distB="0" distL="0" distR="0" wp14:anchorId="571A54CD" wp14:editId="11785D58">
            <wp:extent cx="5971540" cy="198660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540" cy="1986605"/>
                    </a:xfrm>
                    <a:prstGeom prst="rect">
                      <a:avLst/>
                    </a:prstGeom>
                    <a:noFill/>
                    <a:ln>
                      <a:noFill/>
                    </a:ln>
                  </pic:spPr>
                </pic:pic>
              </a:graphicData>
            </a:graphic>
          </wp:inline>
        </w:drawing>
      </w:r>
    </w:p>
    <w:p w:rsidR="00E75292" w:rsidRPr="003E7EAD" w:rsidRDefault="00E75292" w:rsidP="00386BC0">
      <w:pPr>
        <w:jc w:val="center"/>
        <w:rPr>
          <w:rFonts w:ascii="Candara" w:hAnsi="Candara"/>
          <w:b/>
          <w:sz w:val="16"/>
          <w:szCs w:val="16"/>
          <w:lang w:val="es-MX"/>
        </w:rPr>
      </w:pPr>
    </w:p>
    <w:p w:rsidR="00BE54F5" w:rsidRPr="00241A25" w:rsidRDefault="00AA7D08" w:rsidP="004423E5">
      <w:pPr>
        <w:pStyle w:val="Heading3"/>
        <w:rPr>
          <w:rFonts w:ascii="Candara" w:hAnsi="Candara"/>
          <w:b/>
          <w:lang w:val="es-MX"/>
        </w:rPr>
      </w:pPr>
      <w:bookmarkStart w:id="47" w:name="_Toc411843466"/>
      <w:bookmarkStart w:id="48" w:name="_Toc56581212"/>
      <w:bookmarkStart w:id="49" w:name="_Toc64531477"/>
      <w:r w:rsidRPr="00241A25">
        <w:rPr>
          <w:rFonts w:ascii="Candara" w:hAnsi="Candara"/>
          <w:b/>
          <w:lang w:val="es-MX"/>
        </w:rPr>
        <w:t>2</w:t>
      </w:r>
      <w:r w:rsidR="009B117C" w:rsidRPr="00241A25">
        <w:rPr>
          <w:rFonts w:ascii="Candara" w:hAnsi="Candara"/>
          <w:b/>
          <w:lang w:val="es-MX"/>
        </w:rPr>
        <w:t>.2</w:t>
      </w:r>
      <w:r w:rsidR="00442DE5" w:rsidRPr="00241A25">
        <w:rPr>
          <w:rFonts w:ascii="Candara" w:hAnsi="Candara"/>
          <w:b/>
          <w:lang w:val="es-MX"/>
        </w:rPr>
        <w:t xml:space="preserve"> </w:t>
      </w:r>
      <w:r w:rsidR="00BE54F5" w:rsidRPr="00241A25">
        <w:rPr>
          <w:rFonts w:ascii="Candara" w:hAnsi="Candara"/>
          <w:b/>
          <w:lang w:val="es-MX"/>
        </w:rPr>
        <w:t>Gasto de capital</w:t>
      </w:r>
      <w:bookmarkEnd w:id="47"/>
      <w:bookmarkEnd w:id="48"/>
      <w:bookmarkEnd w:id="49"/>
    </w:p>
    <w:p w:rsidR="00BE54F5" w:rsidRPr="00EC1B2B" w:rsidRDefault="00BE54F5" w:rsidP="00BE54F5">
      <w:pPr>
        <w:jc w:val="both"/>
        <w:rPr>
          <w:rFonts w:ascii="Candara" w:hAnsi="Candara"/>
          <w:sz w:val="16"/>
          <w:szCs w:val="16"/>
          <w:lang w:val="es-MX"/>
        </w:rPr>
      </w:pPr>
    </w:p>
    <w:p w:rsidR="00843EEE" w:rsidRPr="00E43934" w:rsidRDefault="00843EEE" w:rsidP="00EC1B2B">
      <w:pPr>
        <w:jc w:val="both"/>
        <w:rPr>
          <w:rFonts w:ascii="Candara" w:hAnsi="Candara" w:cs="Arial"/>
          <w:iCs/>
          <w:sz w:val="24"/>
          <w:szCs w:val="24"/>
          <w:lang w:val="es-MX"/>
        </w:rPr>
      </w:pPr>
      <w:r w:rsidRPr="007F50E2">
        <w:rPr>
          <w:rFonts w:ascii="Candara" w:hAnsi="Candara" w:cs="Arial"/>
          <w:iCs/>
          <w:sz w:val="24"/>
          <w:szCs w:val="24"/>
          <w:lang w:val="es-MX"/>
        </w:rPr>
        <w:t xml:space="preserve">Los gastos de capital del SPNF </w:t>
      </w:r>
      <w:r w:rsidR="001E1C63">
        <w:rPr>
          <w:rFonts w:ascii="Candara" w:hAnsi="Candara" w:cs="Arial"/>
          <w:iCs/>
          <w:sz w:val="24"/>
          <w:szCs w:val="24"/>
          <w:lang w:val="es-MX"/>
        </w:rPr>
        <w:t xml:space="preserve">a </w:t>
      </w:r>
      <w:r w:rsidR="006854AC">
        <w:rPr>
          <w:rFonts w:ascii="Candara" w:hAnsi="Candara" w:cs="Arial"/>
          <w:iCs/>
          <w:sz w:val="24"/>
          <w:szCs w:val="24"/>
          <w:lang w:val="es-MX"/>
        </w:rPr>
        <w:t>diciembre</w:t>
      </w:r>
      <w:r w:rsidR="001E1C63">
        <w:rPr>
          <w:rFonts w:ascii="Candara" w:hAnsi="Candara" w:cs="Arial"/>
          <w:iCs/>
          <w:sz w:val="24"/>
          <w:szCs w:val="24"/>
          <w:lang w:val="es-MX"/>
        </w:rPr>
        <w:t xml:space="preserve"> de </w:t>
      </w:r>
      <w:r w:rsidR="00042C94">
        <w:rPr>
          <w:rFonts w:ascii="Candara" w:hAnsi="Candara" w:cs="Arial"/>
          <w:iCs/>
          <w:sz w:val="24"/>
          <w:szCs w:val="24"/>
          <w:lang w:val="es-MX"/>
        </w:rPr>
        <w:t>2020</w:t>
      </w:r>
      <w:r w:rsidRPr="007F50E2">
        <w:rPr>
          <w:rFonts w:ascii="Candara" w:hAnsi="Candara" w:cs="Arial"/>
          <w:iCs/>
          <w:sz w:val="24"/>
          <w:szCs w:val="24"/>
          <w:lang w:val="es-MX"/>
        </w:rPr>
        <w:t xml:space="preserve"> alcanzaron un monto de $</w:t>
      </w:r>
      <w:r w:rsidR="00BD19FE">
        <w:rPr>
          <w:rFonts w:ascii="Candara" w:hAnsi="Candara" w:cs="Arial"/>
          <w:iCs/>
          <w:sz w:val="24"/>
          <w:szCs w:val="24"/>
          <w:lang w:val="es-MX"/>
        </w:rPr>
        <w:t>688</w:t>
      </w:r>
      <w:r w:rsidR="000850BF">
        <w:rPr>
          <w:rFonts w:ascii="Candara" w:hAnsi="Candara" w:cs="Arial"/>
          <w:iCs/>
          <w:sz w:val="24"/>
          <w:szCs w:val="24"/>
          <w:lang w:val="es-MX"/>
        </w:rPr>
        <w:t>.1</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rPr>
        <w:t xml:space="preserve"> </w:t>
      </w:r>
      <w:r w:rsidRPr="007F50E2">
        <w:rPr>
          <w:rFonts w:ascii="Candara" w:hAnsi="Candara" w:cs="Arial"/>
          <w:iCs/>
          <w:sz w:val="24"/>
          <w:szCs w:val="24"/>
          <w:lang w:val="es-419"/>
        </w:rPr>
        <w:t>experimentando un</w:t>
      </w:r>
      <w:r w:rsidR="002520D9">
        <w:rPr>
          <w:rFonts w:ascii="Candara" w:hAnsi="Candara" w:cs="Arial"/>
          <w:iCs/>
          <w:sz w:val="24"/>
          <w:szCs w:val="24"/>
          <w:lang w:val="es-419"/>
        </w:rPr>
        <w:t xml:space="preserve">a reducción </w:t>
      </w:r>
      <w:r w:rsidRPr="007F50E2">
        <w:rPr>
          <w:rFonts w:ascii="Candara" w:hAnsi="Candara" w:cs="Arial"/>
          <w:iCs/>
          <w:sz w:val="24"/>
          <w:szCs w:val="24"/>
          <w:lang w:val="es-419"/>
        </w:rPr>
        <w:t xml:space="preserve">de </w:t>
      </w:r>
      <w:r w:rsidRPr="007F50E2">
        <w:rPr>
          <w:rFonts w:ascii="Candara" w:hAnsi="Candara" w:cs="Arial"/>
          <w:iCs/>
          <w:sz w:val="24"/>
          <w:szCs w:val="24"/>
        </w:rPr>
        <w:t>$</w:t>
      </w:r>
      <w:r w:rsidR="00FC2421">
        <w:rPr>
          <w:rFonts w:ascii="Candara" w:hAnsi="Candara" w:cs="Arial"/>
          <w:iCs/>
          <w:sz w:val="24"/>
          <w:szCs w:val="24"/>
        </w:rPr>
        <w:t>1</w:t>
      </w:r>
      <w:r w:rsidR="000850BF">
        <w:rPr>
          <w:rFonts w:ascii="Candara" w:hAnsi="Candara" w:cs="Arial"/>
          <w:iCs/>
          <w:sz w:val="24"/>
          <w:szCs w:val="24"/>
        </w:rPr>
        <w:t>71.1</w:t>
      </w:r>
      <w:r w:rsidRPr="007F50E2">
        <w:rPr>
          <w:rFonts w:ascii="Candara" w:hAnsi="Candara" w:cs="Arial"/>
          <w:iCs/>
          <w:sz w:val="24"/>
          <w:szCs w:val="24"/>
        </w:rPr>
        <w:t xml:space="preserve"> millones, equivalente a </w:t>
      </w:r>
      <w:r w:rsidR="000850BF">
        <w:rPr>
          <w:rFonts w:ascii="Candara" w:hAnsi="Candara" w:cs="Arial"/>
          <w:iCs/>
          <w:sz w:val="24"/>
          <w:szCs w:val="24"/>
        </w:rPr>
        <w:t>19.9</w:t>
      </w:r>
      <w:r w:rsidRPr="007F50E2">
        <w:rPr>
          <w:rFonts w:ascii="Candara" w:hAnsi="Candara" w:cs="Arial"/>
          <w:iCs/>
          <w:sz w:val="24"/>
          <w:szCs w:val="24"/>
        </w:rPr>
        <w:t xml:space="preserve">% </w:t>
      </w:r>
      <w:r w:rsidRPr="007F50E2">
        <w:rPr>
          <w:rFonts w:ascii="Candara" w:hAnsi="Candara" w:cs="Arial"/>
          <w:iCs/>
          <w:sz w:val="24"/>
          <w:szCs w:val="24"/>
          <w:lang w:val="es-419"/>
        </w:rPr>
        <w:t xml:space="preserve">con respecto al mismo período de </w:t>
      </w:r>
      <w:r w:rsidR="00042C94">
        <w:rPr>
          <w:rFonts w:ascii="Candara" w:hAnsi="Candara" w:cs="Arial"/>
          <w:iCs/>
          <w:sz w:val="24"/>
          <w:szCs w:val="24"/>
        </w:rPr>
        <w:t>2019</w:t>
      </w:r>
      <w:r w:rsidR="00834B8F" w:rsidRPr="007F50E2">
        <w:rPr>
          <w:rFonts w:ascii="Candara" w:hAnsi="Candara" w:cs="Arial"/>
          <w:iCs/>
          <w:sz w:val="24"/>
          <w:szCs w:val="24"/>
          <w:lang w:val="es-SV"/>
        </w:rPr>
        <w:t xml:space="preserve">. </w:t>
      </w:r>
      <w:r w:rsidRPr="007F50E2">
        <w:rPr>
          <w:rFonts w:ascii="Candara" w:hAnsi="Candara" w:cs="Arial"/>
          <w:iCs/>
          <w:sz w:val="24"/>
          <w:szCs w:val="24"/>
        </w:rPr>
        <w:t>La In</w:t>
      </w:r>
      <w:r w:rsidRPr="007F50E2">
        <w:rPr>
          <w:rFonts w:ascii="Candara" w:hAnsi="Candara" w:cs="Arial"/>
          <w:iCs/>
          <w:sz w:val="24"/>
          <w:szCs w:val="24"/>
          <w:lang w:val="es-MX"/>
        </w:rPr>
        <w:t xml:space="preserve">versión pública del SPNF </w:t>
      </w:r>
      <w:r w:rsidRPr="007F50E2">
        <w:rPr>
          <w:rFonts w:ascii="Candara" w:hAnsi="Candara" w:cs="Arial"/>
          <w:iCs/>
          <w:sz w:val="24"/>
          <w:szCs w:val="24"/>
          <w:lang w:val="es-419"/>
        </w:rPr>
        <w:t xml:space="preserve">alcanzó un </w:t>
      </w:r>
      <w:r w:rsidRPr="007F50E2">
        <w:rPr>
          <w:rFonts w:ascii="Candara" w:hAnsi="Candara" w:cs="Arial"/>
          <w:iCs/>
          <w:sz w:val="24"/>
          <w:szCs w:val="24"/>
          <w:lang w:val="es-MX"/>
        </w:rPr>
        <w:t>valor de $</w:t>
      </w:r>
      <w:r w:rsidR="000850BF">
        <w:rPr>
          <w:rFonts w:ascii="Candara" w:hAnsi="Candara" w:cs="Arial"/>
          <w:iCs/>
          <w:sz w:val="24"/>
          <w:szCs w:val="24"/>
          <w:lang w:val="es-MX"/>
        </w:rPr>
        <w:t>636.8</w:t>
      </w:r>
      <w:r w:rsidRPr="007F50E2">
        <w:rPr>
          <w:rFonts w:ascii="Candara" w:hAnsi="Candara" w:cs="Arial"/>
          <w:iCs/>
          <w:sz w:val="24"/>
          <w:szCs w:val="24"/>
          <w:lang w:val="es-MX"/>
        </w:rPr>
        <w:t xml:space="preserve"> millones,</w:t>
      </w:r>
      <w:r w:rsidRPr="007F50E2">
        <w:rPr>
          <w:rFonts w:ascii="Candara" w:hAnsi="Candara" w:cs="Arial"/>
          <w:iCs/>
          <w:sz w:val="24"/>
          <w:szCs w:val="24"/>
          <w:lang w:val="es-419"/>
        </w:rPr>
        <w:t xml:space="preserve"> m</w:t>
      </w:r>
      <w:r w:rsidR="00241A25">
        <w:rPr>
          <w:rFonts w:ascii="Candara" w:hAnsi="Candara" w:cs="Arial"/>
          <w:iCs/>
          <w:sz w:val="24"/>
          <w:szCs w:val="24"/>
          <w:lang w:val="es-419"/>
        </w:rPr>
        <w:t>enor</w:t>
      </w:r>
      <w:r w:rsidR="008F7C42">
        <w:rPr>
          <w:rFonts w:ascii="Candara" w:hAnsi="Candara" w:cs="Arial"/>
          <w:iCs/>
          <w:sz w:val="24"/>
          <w:szCs w:val="24"/>
          <w:lang w:val="es-SV"/>
        </w:rPr>
        <w:t xml:space="preserve"> </w:t>
      </w:r>
      <w:r w:rsidRPr="007F50E2">
        <w:rPr>
          <w:rFonts w:ascii="Candara" w:hAnsi="Candara" w:cs="Arial"/>
          <w:iCs/>
          <w:sz w:val="24"/>
          <w:szCs w:val="24"/>
          <w:lang w:val="es-419"/>
        </w:rPr>
        <w:t xml:space="preserve">en </w:t>
      </w:r>
      <w:r w:rsidRPr="007F50E2">
        <w:rPr>
          <w:rFonts w:ascii="Candara" w:hAnsi="Candara" w:cs="Arial"/>
          <w:iCs/>
          <w:sz w:val="24"/>
          <w:szCs w:val="24"/>
          <w:lang w:val="es-MX"/>
        </w:rPr>
        <w:t>$</w:t>
      </w:r>
      <w:r w:rsidR="00FC2421">
        <w:rPr>
          <w:rFonts w:ascii="Candara" w:hAnsi="Candara" w:cs="Arial"/>
          <w:iCs/>
          <w:sz w:val="24"/>
          <w:szCs w:val="24"/>
          <w:lang w:val="es-MX"/>
        </w:rPr>
        <w:t>1</w:t>
      </w:r>
      <w:r w:rsidR="000850BF">
        <w:rPr>
          <w:rFonts w:ascii="Candara" w:hAnsi="Candara" w:cs="Arial"/>
          <w:iCs/>
          <w:sz w:val="24"/>
          <w:szCs w:val="24"/>
          <w:lang w:val="es-MX"/>
        </w:rPr>
        <w:t>61.5</w:t>
      </w:r>
      <w:r w:rsidRPr="007F50E2">
        <w:rPr>
          <w:rFonts w:ascii="Candara" w:hAnsi="Candara" w:cs="Arial"/>
          <w:iCs/>
          <w:sz w:val="24"/>
          <w:szCs w:val="24"/>
          <w:lang w:val="es-419"/>
        </w:rPr>
        <w:t xml:space="preserve"> </w:t>
      </w:r>
      <w:r w:rsidRPr="007F50E2">
        <w:rPr>
          <w:rFonts w:ascii="Candara" w:hAnsi="Candara" w:cs="Arial"/>
          <w:iCs/>
          <w:sz w:val="24"/>
          <w:szCs w:val="24"/>
          <w:lang w:val="es-MX"/>
        </w:rPr>
        <w:t>millones</w:t>
      </w:r>
      <w:r w:rsidRPr="007F50E2">
        <w:rPr>
          <w:rFonts w:ascii="Candara" w:hAnsi="Candara" w:cs="Arial"/>
          <w:iCs/>
          <w:sz w:val="24"/>
          <w:szCs w:val="24"/>
          <w:lang w:val="es-419"/>
        </w:rPr>
        <w:t xml:space="preserve"> </w:t>
      </w:r>
      <w:r w:rsidRPr="007F50E2">
        <w:rPr>
          <w:rFonts w:ascii="Candara" w:hAnsi="Candara" w:cs="Arial"/>
          <w:iCs/>
          <w:sz w:val="24"/>
          <w:szCs w:val="24"/>
          <w:lang w:val="es-SV"/>
        </w:rPr>
        <w:t xml:space="preserve">con respecto </w:t>
      </w:r>
      <w:r w:rsidR="00C36287">
        <w:rPr>
          <w:rFonts w:ascii="Candara" w:hAnsi="Candara" w:cs="Arial"/>
          <w:iCs/>
          <w:sz w:val="24"/>
          <w:szCs w:val="24"/>
          <w:lang w:val="es-SV"/>
        </w:rPr>
        <w:t xml:space="preserve">mismo período </w:t>
      </w:r>
      <w:r w:rsidRPr="007F50E2">
        <w:rPr>
          <w:rFonts w:ascii="Candara" w:hAnsi="Candara" w:cs="Arial"/>
          <w:iCs/>
          <w:sz w:val="24"/>
          <w:szCs w:val="24"/>
          <w:lang w:val="es-419"/>
        </w:rPr>
        <w:t>d</w:t>
      </w:r>
      <w:r w:rsidRPr="007F50E2">
        <w:rPr>
          <w:rFonts w:ascii="Candara" w:hAnsi="Candara" w:cs="Arial"/>
          <w:iCs/>
          <w:sz w:val="24"/>
          <w:szCs w:val="24"/>
          <w:lang w:val="es-MX"/>
        </w:rPr>
        <w:t>el año anterior</w:t>
      </w:r>
      <w:r w:rsidR="00855AEE">
        <w:rPr>
          <w:rFonts w:ascii="Candara" w:hAnsi="Candara" w:cs="Arial"/>
          <w:iCs/>
          <w:sz w:val="24"/>
          <w:szCs w:val="24"/>
          <w:lang w:val="es-MX"/>
        </w:rPr>
        <w:t>,</w:t>
      </w:r>
      <w:r w:rsidR="0061779A">
        <w:rPr>
          <w:rFonts w:ascii="Candara" w:hAnsi="Candara" w:cs="Arial"/>
          <w:iCs/>
          <w:sz w:val="24"/>
          <w:szCs w:val="24"/>
          <w:lang w:val="es-MX"/>
        </w:rPr>
        <w:t xml:space="preserve"> </w:t>
      </w:r>
      <w:r w:rsidR="00864C9D">
        <w:rPr>
          <w:rFonts w:ascii="Candara" w:hAnsi="Candara" w:cs="Arial"/>
          <w:iCs/>
          <w:sz w:val="24"/>
          <w:szCs w:val="24"/>
          <w:lang w:val="es-MX"/>
        </w:rPr>
        <w:t xml:space="preserve">asociado </w:t>
      </w:r>
      <w:r w:rsidR="005327AE">
        <w:rPr>
          <w:rFonts w:ascii="Candara" w:hAnsi="Candara" w:cs="Arial"/>
          <w:iCs/>
          <w:sz w:val="24"/>
          <w:szCs w:val="24"/>
          <w:lang w:val="es-MX"/>
        </w:rPr>
        <w:t>a</w:t>
      </w:r>
      <w:r w:rsidR="00BF1E54">
        <w:rPr>
          <w:rFonts w:ascii="Candara" w:hAnsi="Candara" w:cs="Arial"/>
          <w:iCs/>
          <w:sz w:val="24"/>
          <w:szCs w:val="24"/>
          <w:lang w:val="es-MX"/>
        </w:rPr>
        <w:t xml:space="preserve"> </w:t>
      </w:r>
      <w:r w:rsidR="00BF1E54" w:rsidRPr="00BF1E54">
        <w:rPr>
          <w:rFonts w:ascii="Candara" w:hAnsi="Candara" w:cs="Arial"/>
          <w:iCs/>
          <w:sz w:val="24"/>
          <w:szCs w:val="24"/>
          <w:lang w:val="es-MX"/>
        </w:rPr>
        <w:t>la suspensión de programas y proyectos contenidos en la Ley de Presupuesto y Programa Anual de Inversión Pública (PAIP) vigentes</w:t>
      </w:r>
      <w:r w:rsidR="00A41536">
        <w:rPr>
          <w:rFonts w:ascii="Candara" w:hAnsi="Candara" w:cs="Arial"/>
          <w:iCs/>
          <w:sz w:val="24"/>
          <w:szCs w:val="24"/>
          <w:lang w:val="es-MX"/>
        </w:rPr>
        <w:t xml:space="preserve"> al 2020</w:t>
      </w:r>
      <w:r w:rsidR="00BF1E54" w:rsidRPr="00BF1E54">
        <w:rPr>
          <w:rFonts w:ascii="Candara" w:hAnsi="Candara" w:cs="Arial"/>
          <w:iCs/>
          <w:sz w:val="24"/>
          <w:szCs w:val="24"/>
          <w:lang w:val="es-MX"/>
        </w:rPr>
        <w:t xml:space="preserve">, para poder enfocar recursos y esfuerzos a atender la pandemia del </w:t>
      </w:r>
      <w:r w:rsidR="00BF1E54">
        <w:rPr>
          <w:rFonts w:ascii="Candara" w:hAnsi="Candara" w:cs="Arial"/>
          <w:iCs/>
          <w:sz w:val="24"/>
          <w:szCs w:val="24"/>
          <w:lang w:val="es-MX"/>
        </w:rPr>
        <w:t>COVID</w:t>
      </w:r>
      <w:r w:rsidR="00BF1E54" w:rsidRPr="00BF1E54">
        <w:rPr>
          <w:rFonts w:ascii="Candara" w:hAnsi="Candara" w:cs="Arial"/>
          <w:iCs/>
          <w:sz w:val="24"/>
          <w:szCs w:val="24"/>
          <w:lang w:val="es-MX"/>
        </w:rPr>
        <w:t>-19, reparaciones y ayuda por l</w:t>
      </w:r>
      <w:r w:rsidR="002520D9">
        <w:rPr>
          <w:rFonts w:ascii="Candara" w:hAnsi="Candara" w:cs="Arial"/>
          <w:iCs/>
          <w:sz w:val="24"/>
          <w:szCs w:val="24"/>
          <w:lang w:val="es-MX"/>
        </w:rPr>
        <w:t>o</w:t>
      </w:r>
      <w:r w:rsidR="00BF1E54" w:rsidRPr="00BF1E54">
        <w:rPr>
          <w:rFonts w:ascii="Candara" w:hAnsi="Candara" w:cs="Arial"/>
          <w:iCs/>
          <w:sz w:val="24"/>
          <w:szCs w:val="24"/>
          <w:lang w:val="es-MX"/>
        </w:rPr>
        <w:t xml:space="preserve">s </w:t>
      </w:r>
      <w:r w:rsidR="002520D9">
        <w:rPr>
          <w:rFonts w:ascii="Candara" w:hAnsi="Candara" w:cs="Arial"/>
          <w:iCs/>
          <w:sz w:val="24"/>
          <w:szCs w:val="24"/>
          <w:lang w:val="es-MX"/>
        </w:rPr>
        <w:t xml:space="preserve">daños </w:t>
      </w:r>
      <w:r w:rsidR="00857A4E">
        <w:rPr>
          <w:rFonts w:ascii="Candara" w:hAnsi="Candara" w:cs="Arial"/>
          <w:iCs/>
          <w:sz w:val="24"/>
          <w:szCs w:val="24"/>
          <w:lang w:val="es-MX"/>
        </w:rPr>
        <w:t xml:space="preserve">y pérdidas </w:t>
      </w:r>
      <w:r w:rsidR="002520D9">
        <w:rPr>
          <w:rFonts w:ascii="Candara" w:hAnsi="Candara" w:cs="Arial"/>
          <w:iCs/>
          <w:sz w:val="24"/>
          <w:szCs w:val="24"/>
          <w:lang w:val="es-MX"/>
        </w:rPr>
        <w:t xml:space="preserve">causados por las </w:t>
      </w:r>
      <w:r w:rsidR="00BF1E54" w:rsidRPr="00BF1E54">
        <w:rPr>
          <w:rFonts w:ascii="Candara" w:hAnsi="Candara" w:cs="Arial"/>
          <w:iCs/>
          <w:sz w:val="24"/>
          <w:szCs w:val="24"/>
          <w:lang w:val="es-MX"/>
        </w:rPr>
        <w:t>depresiones tropicales “Amanda” y “Cristóbal”.</w:t>
      </w:r>
      <w:r w:rsidRPr="007F50E2">
        <w:rPr>
          <w:rFonts w:ascii="Candara" w:hAnsi="Candara" w:cs="Arial"/>
          <w:iCs/>
          <w:sz w:val="24"/>
          <w:szCs w:val="24"/>
          <w:lang w:val="es-MX"/>
        </w:rPr>
        <w:t xml:space="preserve"> </w:t>
      </w:r>
      <w:r w:rsidR="005327AE">
        <w:rPr>
          <w:rFonts w:ascii="Candara" w:hAnsi="Candara" w:cs="Arial"/>
          <w:iCs/>
          <w:sz w:val="24"/>
          <w:szCs w:val="24"/>
          <w:lang w:val="es-MX"/>
        </w:rPr>
        <w:t xml:space="preserve">La inversión en términos del PIB </w:t>
      </w:r>
      <w:r w:rsidR="00705BCF" w:rsidRPr="007F50E2">
        <w:rPr>
          <w:rFonts w:ascii="Candara" w:hAnsi="Candara" w:cs="Arial"/>
          <w:iCs/>
          <w:sz w:val="24"/>
          <w:szCs w:val="24"/>
          <w:lang w:val="es-419"/>
        </w:rPr>
        <w:t>representó</w:t>
      </w:r>
      <w:r w:rsidR="005327AE">
        <w:rPr>
          <w:rFonts w:ascii="Candara" w:hAnsi="Candara" w:cs="Arial"/>
          <w:iCs/>
          <w:sz w:val="24"/>
          <w:szCs w:val="24"/>
          <w:lang w:val="es-SV"/>
        </w:rPr>
        <w:t xml:space="preserve"> </w:t>
      </w:r>
      <w:r w:rsidRPr="007F50E2">
        <w:rPr>
          <w:rFonts w:ascii="Candara" w:hAnsi="Candara" w:cs="Arial"/>
          <w:iCs/>
          <w:sz w:val="24"/>
          <w:szCs w:val="24"/>
          <w:lang w:val="es-419"/>
        </w:rPr>
        <w:t xml:space="preserve">un </w:t>
      </w:r>
      <w:r w:rsidR="00A41536">
        <w:rPr>
          <w:rFonts w:ascii="Candara" w:hAnsi="Candara" w:cs="Arial"/>
          <w:iCs/>
          <w:sz w:val="24"/>
          <w:szCs w:val="24"/>
          <w:lang w:val="es-419"/>
        </w:rPr>
        <w:t>2.5</w:t>
      </w:r>
      <w:r w:rsidRPr="007F50E2">
        <w:rPr>
          <w:rFonts w:ascii="Candara" w:hAnsi="Candara" w:cs="Arial"/>
          <w:iCs/>
          <w:sz w:val="24"/>
          <w:szCs w:val="24"/>
          <w:lang w:val="es-419"/>
        </w:rPr>
        <w:t>% del PIB.</w:t>
      </w:r>
      <w:r w:rsidR="00E43934" w:rsidRPr="00E43934">
        <w:rPr>
          <w:rFonts w:ascii="Arial" w:hAnsi="Arial" w:cs="Arial"/>
          <w:i/>
          <w:iCs/>
          <w:sz w:val="22"/>
          <w:szCs w:val="22"/>
          <w:lang w:val="es-MX"/>
        </w:rPr>
        <w:t xml:space="preserve"> </w:t>
      </w:r>
    </w:p>
    <w:p w:rsidR="000B7219" w:rsidRDefault="000B7219" w:rsidP="000B7219">
      <w:pPr>
        <w:jc w:val="center"/>
        <w:rPr>
          <w:rFonts w:ascii="Candara" w:hAnsi="Candara"/>
          <w:sz w:val="24"/>
          <w:szCs w:val="24"/>
          <w:lang w:val="es-MX"/>
        </w:rPr>
      </w:pPr>
      <w:r w:rsidRPr="007F50E2">
        <w:rPr>
          <w:rFonts w:ascii="Candara" w:hAnsi="Candara"/>
          <w:sz w:val="24"/>
          <w:szCs w:val="24"/>
          <w:lang w:val="es-MX"/>
        </w:rPr>
        <w:t xml:space="preserve">Gráfico </w:t>
      </w:r>
      <w:r w:rsidR="006B57E8">
        <w:rPr>
          <w:rFonts w:ascii="Candara" w:hAnsi="Candara"/>
          <w:sz w:val="24"/>
          <w:szCs w:val="24"/>
          <w:lang w:val="es-MX"/>
        </w:rPr>
        <w:t>8</w:t>
      </w:r>
      <w:r w:rsidRPr="007F50E2">
        <w:rPr>
          <w:rFonts w:ascii="Candara" w:hAnsi="Candara"/>
          <w:sz w:val="24"/>
          <w:szCs w:val="24"/>
          <w:lang w:val="es-MX"/>
        </w:rPr>
        <w:t xml:space="preserve">: Inversión </w:t>
      </w:r>
      <w:r w:rsidR="001D7D68" w:rsidRPr="007F50E2">
        <w:rPr>
          <w:rFonts w:ascii="Candara" w:hAnsi="Candara"/>
          <w:sz w:val="24"/>
          <w:szCs w:val="24"/>
          <w:lang w:val="es-MX"/>
        </w:rPr>
        <w:t>Pública a</w:t>
      </w:r>
      <w:r w:rsidRPr="007F50E2">
        <w:rPr>
          <w:rFonts w:ascii="Candara" w:hAnsi="Candara"/>
          <w:sz w:val="24"/>
          <w:szCs w:val="24"/>
          <w:lang w:val="es-MX"/>
        </w:rPr>
        <w:t xml:space="preserve"> </w:t>
      </w:r>
      <w:r w:rsidR="006854AC">
        <w:rPr>
          <w:rFonts w:ascii="Candara" w:hAnsi="Candara"/>
          <w:sz w:val="24"/>
          <w:szCs w:val="24"/>
          <w:lang w:val="es-MX"/>
        </w:rPr>
        <w:t>diciembre</w:t>
      </w:r>
      <w:r w:rsidRPr="007F50E2">
        <w:rPr>
          <w:rFonts w:ascii="Candara" w:hAnsi="Candara"/>
          <w:sz w:val="24"/>
          <w:szCs w:val="24"/>
          <w:lang w:val="es-MX"/>
        </w:rPr>
        <w:t xml:space="preserve"> 20</w:t>
      </w:r>
      <w:r w:rsidR="00861E9B">
        <w:rPr>
          <w:rFonts w:ascii="Candara" w:hAnsi="Candara"/>
          <w:sz w:val="24"/>
          <w:szCs w:val="24"/>
          <w:lang w:val="es-MX"/>
        </w:rPr>
        <w:t>14</w:t>
      </w:r>
      <w:r w:rsidRPr="007F50E2">
        <w:rPr>
          <w:rFonts w:ascii="Candara" w:hAnsi="Candara"/>
          <w:sz w:val="24"/>
          <w:szCs w:val="24"/>
          <w:lang w:val="es-MX"/>
        </w:rPr>
        <w:t>-</w:t>
      </w:r>
      <w:r w:rsidR="00042C94">
        <w:rPr>
          <w:rFonts w:ascii="Candara" w:hAnsi="Candara"/>
          <w:sz w:val="24"/>
          <w:szCs w:val="24"/>
          <w:lang w:val="es-MX"/>
        </w:rPr>
        <w:t>2020</w:t>
      </w:r>
    </w:p>
    <w:p w:rsidR="003E7EAD" w:rsidRPr="003E7EAD" w:rsidRDefault="003E7EAD" w:rsidP="000B7219">
      <w:pPr>
        <w:jc w:val="center"/>
        <w:rPr>
          <w:rFonts w:ascii="Candara" w:hAnsi="Candara"/>
          <w:sz w:val="16"/>
          <w:szCs w:val="16"/>
          <w:lang w:val="es-MX"/>
        </w:rPr>
      </w:pPr>
    </w:p>
    <w:p w:rsidR="005327AE" w:rsidRDefault="00B14C22" w:rsidP="000B7219">
      <w:pPr>
        <w:jc w:val="center"/>
        <w:rPr>
          <w:rFonts w:ascii="Candara" w:hAnsi="Candara"/>
          <w:sz w:val="24"/>
          <w:szCs w:val="24"/>
          <w:lang w:val="es-MX"/>
        </w:rPr>
      </w:pPr>
      <w:r w:rsidRPr="00B14C22">
        <w:rPr>
          <w:noProof/>
        </w:rPr>
        <w:drawing>
          <wp:inline distT="0" distB="0" distL="0" distR="0" wp14:anchorId="6586F99A" wp14:editId="792A93F2">
            <wp:extent cx="5069205" cy="3038138"/>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06" cy="3048387"/>
                    </a:xfrm>
                    <a:prstGeom prst="rect">
                      <a:avLst/>
                    </a:prstGeom>
                    <a:noFill/>
                    <a:ln>
                      <a:noFill/>
                    </a:ln>
                  </pic:spPr>
                </pic:pic>
              </a:graphicData>
            </a:graphic>
          </wp:inline>
        </w:drawing>
      </w:r>
    </w:p>
    <w:p w:rsidR="00201628" w:rsidRDefault="00201628" w:rsidP="00080BF7">
      <w:pPr>
        <w:ind w:right="-32"/>
        <w:jc w:val="both"/>
        <w:rPr>
          <w:rFonts w:ascii="Candara" w:hAnsi="Candara" w:cs="Arial"/>
          <w:iCs/>
          <w:sz w:val="24"/>
          <w:szCs w:val="24"/>
        </w:rPr>
      </w:pPr>
    </w:p>
    <w:p w:rsidR="00080BF7" w:rsidRPr="004F1CB2" w:rsidRDefault="00080BF7" w:rsidP="00080BF7">
      <w:pPr>
        <w:ind w:right="-32"/>
        <w:jc w:val="both"/>
        <w:rPr>
          <w:rFonts w:ascii="Candara" w:hAnsi="Candara" w:cs="Arial"/>
          <w:iCs/>
          <w:sz w:val="24"/>
          <w:szCs w:val="24"/>
        </w:rPr>
      </w:pPr>
      <w:r w:rsidRPr="004F1CB2">
        <w:rPr>
          <w:rFonts w:ascii="Candara" w:hAnsi="Candara" w:cs="Arial"/>
          <w:iCs/>
          <w:sz w:val="24"/>
          <w:szCs w:val="24"/>
        </w:rPr>
        <w:lastRenderedPageBreak/>
        <w:t>A nivel de subsectores, el Gobierno Central Consolidado ejecutó el 6</w:t>
      </w:r>
      <w:r w:rsidR="000850BF">
        <w:rPr>
          <w:rFonts w:ascii="Candara" w:hAnsi="Candara" w:cs="Arial"/>
          <w:iCs/>
          <w:sz w:val="24"/>
          <w:szCs w:val="24"/>
        </w:rPr>
        <w:t>9.6</w:t>
      </w:r>
      <w:r w:rsidRPr="004F1CB2">
        <w:rPr>
          <w:rFonts w:ascii="Candara" w:hAnsi="Candara" w:cs="Arial"/>
          <w:iCs/>
          <w:sz w:val="24"/>
          <w:szCs w:val="24"/>
        </w:rPr>
        <w:t>% ($</w:t>
      </w:r>
      <w:r w:rsidR="000850BF">
        <w:rPr>
          <w:rFonts w:ascii="Candara" w:hAnsi="Candara" w:cs="Arial"/>
          <w:iCs/>
          <w:sz w:val="24"/>
          <w:szCs w:val="24"/>
        </w:rPr>
        <w:t>443.1</w:t>
      </w:r>
      <w:r w:rsidRPr="004F1CB2">
        <w:rPr>
          <w:rFonts w:ascii="Candara" w:hAnsi="Candara" w:cs="Arial"/>
          <w:iCs/>
          <w:sz w:val="24"/>
          <w:szCs w:val="24"/>
        </w:rPr>
        <w:t xml:space="preserve"> millones) del total, el Resto del Gobierno General ejecutó un </w:t>
      </w:r>
      <w:r w:rsidR="000850BF">
        <w:rPr>
          <w:rFonts w:ascii="Candara" w:hAnsi="Candara" w:cs="Arial"/>
          <w:iCs/>
          <w:sz w:val="24"/>
          <w:szCs w:val="24"/>
        </w:rPr>
        <w:t>16.2</w:t>
      </w:r>
      <w:r w:rsidRPr="004F1CB2">
        <w:rPr>
          <w:rFonts w:ascii="Candara" w:hAnsi="Candara" w:cs="Arial"/>
          <w:iCs/>
          <w:sz w:val="24"/>
          <w:szCs w:val="24"/>
        </w:rPr>
        <w:t>% ($10</w:t>
      </w:r>
      <w:r w:rsidR="000850BF">
        <w:rPr>
          <w:rFonts w:ascii="Candara" w:hAnsi="Candara" w:cs="Arial"/>
          <w:iCs/>
          <w:sz w:val="24"/>
          <w:szCs w:val="24"/>
        </w:rPr>
        <w:t>3.0</w:t>
      </w:r>
      <w:r w:rsidRPr="004F1CB2">
        <w:rPr>
          <w:rFonts w:ascii="Candara" w:hAnsi="Candara" w:cs="Arial"/>
          <w:iCs/>
          <w:sz w:val="24"/>
          <w:szCs w:val="24"/>
        </w:rPr>
        <w:t xml:space="preserve"> millones), incluye el monto ejecutado por las Municipalidades de $99.1 millones y las Empresas Públicas ejecutaron un 1</w:t>
      </w:r>
      <w:r w:rsidR="000850BF">
        <w:rPr>
          <w:rFonts w:ascii="Candara" w:hAnsi="Candara" w:cs="Arial"/>
          <w:iCs/>
          <w:sz w:val="24"/>
          <w:szCs w:val="24"/>
        </w:rPr>
        <w:t>4.2</w:t>
      </w:r>
      <w:r w:rsidRPr="004F1CB2">
        <w:rPr>
          <w:rFonts w:ascii="Candara" w:hAnsi="Candara" w:cs="Arial"/>
          <w:iCs/>
          <w:sz w:val="24"/>
          <w:szCs w:val="24"/>
        </w:rPr>
        <w:t>% ($</w:t>
      </w:r>
      <w:r w:rsidR="000850BF">
        <w:rPr>
          <w:rFonts w:ascii="Candara" w:hAnsi="Candara" w:cs="Arial"/>
          <w:iCs/>
          <w:sz w:val="24"/>
          <w:szCs w:val="24"/>
        </w:rPr>
        <w:t>90.7</w:t>
      </w:r>
      <w:r w:rsidRPr="004F1CB2">
        <w:rPr>
          <w:rFonts w:ascii="Candara" w:hAnsi="Candara" w:cs="Arial"/>
          <w:iCs/>
          <w:sz w:val="24"/>
          <w:szCs w:val="24"/>
        </w:rPr>
        <w:t xml:space="preserve"> millones) del total</w:t>
      </w:r>
      <w:r w:rsidR="00404593">
        <w:rPr>
          <w:rFonts w:ascii="Candara" w:hAnsi="Candara" w:cs="Arial"/>
          <w:iCs/>
          <w:sz w:val="24"/>
          <w:szCs w:val="24"/>
        </w:rPr>
        <w:t xml:space="preserve"> (ver anexo 4).</w:t>
      </w:r>
    </w:p>
    <w:p w:rsidR="00080BF7" w:rsidRPr="00080BF7" w:rsidRDefault="00080BF7" w:rsidP="00AB5AA8">
      <w:pPr>
        <w:jc w:val="both"/>
        <w:rPr>
          <w:rFonts w:ascii="Candara" w:hAnsi="Candara"/>
          <w:sz w:val="24"/>
          <w:szCs w:val="24"/>
        </w:rPr>
      </w:pPr>
    </w:p>
    <w:p w:rsidR="00AB5AA8" w:rsidRDefault="00AB5AA8" w:rsidP="00AB5AA8">
      <w:pPr>
        <w:jc w:val="both"/>
        <w:rPr>
          <w:rFonts w:ascii="Candara" w:hAnsi="Candara"/>
          <w:sz w:val="24"/>
          <w:szCs w:val="24"/>
          <w:lang w:val="es-MX"/>
        </w:rPr>
      </w:pPr>
      <w:r w:rsidRPr="00C86108">
        <w:rPr>
          <w:rFonts w:ascii="Candara" w:hAnsi="Candara"/>
          <w:sz w:val="24"/>
          <w:szCs w:val="24"/>
          <w:lang w:val="es-MX"/>
        </w:rPr>
        <w:t xml:space="preserve">Por sectores de actividad, la inversión en el sector Desarrollo </w:t>
      </w:r>
      <w:r w:rsidR="001D7D68" w:rsidRPr="00C86108">
        <w:rPr>
          <w:rFonts w:ascii="Candara" w:hAnsi="Candara"/>
          <w:sz w:val="24"/>
          <w:szCs w:val="24"/>
          <w:lang w:val="es-MX"/>
        </w:rPr>
        <w:t>Económico</w:t>
      </w:r>
      <w:r w:rsidR="001D7D68">
        <w:rPr>
          <w:rFonts w:ascii="Candara" w:hAnsi="Candara"/>
          <w:sz w:val="24"/>
          <w:szCs w:val="24"/>
          <w:lang w:val="es-MX"/>
        </w:rPr>
        <w:t xml:space="preserve"> </w:t>
      </w:r>
      <w:r w:rsidRPr="00C86108">
        <w:rPr>
          <w:rFonts w:ascii="Candara" w:hAnsi="Candara"/>
          <w:sz w:val="24"/>
          <w:szCs w:val="24"/>
          <w:lang w:val="es-MX"/>
        </w:rPr>
        <w:t>se ejecutó un total de $</w:t>
      </w:r>
      <w:r w:rsidR="000850BF">
        <w:rPr>
          <w:rFonts w:ascii="Candara" w:hAnsi="Candara"/>
          <w:sz w:val="24"/>
          <w:szCs w:val="24"/>
          <w:lang w:val="es-MX"/>
        </w:rPr>
        <w:t>344.7</w:t>
      </w:r>
      <w:r w:rsidR="00AB3647" w:rsidRPr="00C86108">
        <w:rPr>
          <w:rFonts w:ascii="Candara" w:hAnsi="Candara"/>
          <w:sz w:val="24"/>
          <w:szCs w:val="24"/>
          <w:lang w:val="es-MX"/>
        </w:rPr>
        <w:t xml:space="preserve"> </w:t>
      </w:r>
      <w:r w:rsidRPr="00C86108">
        <w:rPr>
          <w:rFonts w:ascii="Candara" w:hAnsi="Candara"/>
          <w:sz w:val="24"/>
          <w:szCs w:val="24"/>
          <w:lang w:val="es-MX"/>
        </w:rPr>
        <w:t xml:space="preserve">millones, con una participación de </w:t>
      </w:r>
      <w:r w:rsidR="008F7C42" w:rsidRPr="00C86108">
        <w:rPr>
          <w:rFonts w:ascii="Candara" w:hAnsi="Candara"/>
          <w:sz w:val="24"/>
          <w:szCs w:val="24"/>
          <w:lang w:val="es-MX"/>
        </w:rPr>
        <w:t>5</w:t>
      </w:r>
      <w:r w:rsidR="000850BF">
        <w:rPr>
          <w:rFonts w:ascii="Candara" w:hAnsi="Candara"/>
          <w:sz w:val="24"/>
          <w:szCs w:val="24"/>
          <w:lang w:val="es-MX"/>
        </w:rPr>
        <w:t>4.1</w:t>
      </w:r>
      <w:r w:rsidRPr="00C86108">
        <w:rPr>
          <w:rFonts w:ascii="Candara" w:hAnsi="Candara"/>
          <w:sz w:val="24"/>
          <w:szCs w:val="24"/>
          <w:lang w:val="es-MX"/>
        </w:rPr>
        <w:t>% de la inversión total, destacando los recursos destinados al subsector de Transporte y Almacenaje ($</w:t>
      </w:r>
      <w:r w:rsidR="000850BF">
        <w:rPr>
          <w:rFonts w:ascii="Candara" w:hAnsi="Candara"/>
          <w:sz w:val="24"/>
          <w:szCs w:val="24"/>
          <w:lang w:val="es-MX"/>
        </w:rPr>
        <w:t>241.4</w:t>
      </w:r>
      <w:r w:rsidRPr="00C86108">
        <w:rPr>
          <w:rFonts w:ascii="Candara" w:hAnsi="Candara"/>
          <w:sz w:val="24"/>
          <w:szCs w:val="24"/>
          <w:lang w:val="es-MX"/>
        </w:rPr>
        <w:t xml:space="preserve"> millones</w:t>
      </w:r>
      <w:r w:rsidR="000B7219" w:rsidRPr="00C86108">
        <w:rPr>
          <w:rFonts w:ascii="Candara" w:hAnsi="Candara"/>
          <w:sz w:val="24"/>
          <w:szCs w:val="24"/>
          <w:lang w:val="es-MX"/>
        </w:rPr>
        <w:t xml:space="preserve"> con una participación del </w:t>
      </w:r>
      <w:r w:rsidR="00AB3647" w:rsidRPr="00C86108">
        <w:rPr>
          <w:rFonts w:ascii="Candara" w:hAnsi="Candara"/>
          <w:sz w:val="24"/>
          <w:szCs w:val="24"/>
          <w:lang w:val="es-MX"/>
        </w:rPr>
        <w:t>3</w:t>
      </w:r>
      <w:r w:rsidR="002A2E39">
        <w:rPr>
          <w:rFonts w:ascii="Candara" w:hAnsi="Candara"/>
          <w:sz w:val="24"/>
          <w:szCs w:val="24"/>
          <w:lang w:val="es-MX"/>
        </w:rPr>
        <w:t>7</w:t>
      </w:r>
      <w:r w:rsidR="00AB3647" w:rsidRPr="00C86108">
        <w:rPr>
          <w:rFonts w:ascii="Candara" w:hAnsi="Candara"/>
          <w:sz w:val="24"/>
          <w:szCs w:val="24"/>
          <w:lang w:val="es-MX"/>
        </w:rPr>
        <w:t>.</w:t>
      </w:r>
      <w:r w:rsidR="00C67E88">
        <w:rPr>
          <w:rFonts w:ascii="Candara" w:hAnsi="Candara"/>
          <w:sz w:val="24"/>
          <w:szCs w:val="24"/>
          <w:lang w:val="es-MX"/>
        </w:rPr>
        <w:t>9</w:t>
      </w:r>
      <w:r w:rsidR="000B7219" w:rsidRPr="00C86108">
        <w:rPr>
          <w:rFonts w:ascii="Candara" w:hAnsi="Candara"/>
          <w:sz w:val="24"/>
          <w:szCs w:val="24"/>
          <w:lang w:val="es-MX"/>
        </w:rPr>
        <w:t>%</w:t>
      </w:r>
      <w:r w:rsidRPr="00C86108">
        <w:rPr>
          <w:rFonts w:ascii="Candara" w:hAnsi="Candara"/>
          <w:sz w:val="24"/>
          <w:szCs w:val="24"/>
          <w:lang w:val="es-MX"/>
        </w:rPr>
        <w:t xml:space="preserve">), entre otros, tal como se muestra en la tabla No. </w:t>
      </w:r>
      <w:r w:rsidR="00E3569E" w:rsidRPr="00C86108">
        <w:rPr>
          <w:rFonts w:ascii="Candara" w:hAnsi="Candara"/>
          <w:sz w:val="24"/>
          <w:szCs w:val="24"/>
          <w:lang w:val="es-MX"/>
        </w:rPr>
        <w:t>3</w:t>
      </w:r>
      <w:r w:rsidRPr="00C86108">
        <w:rPr>
          <w:rFonts w:ascii="Candara" w:hAnsi="Candara"/>
          <w:sz w:val="24"/>
          <w:szCs w:val="24"/>
          <w:lang w:val="es-MX"/>
        </w:rPr>
        <w:t>.</w:t>
      </w:r>
    </w:p>
    <w:p w:rsidR="00E52CBD" w:rsidRPr="009B21FA" w:rsidRDefault="00E52CBD" w:rsidP="004A685A">
      <w:pPr>
        <w:jc w:val="both"/>
        <w:rPr>
          <w:rFonts w:ascii="Candara" w:hAnsi="Candara"/>
          <w:sz w:val="16"/>
          <w:szCs w:val="16"/>
          <w:lang w:val="es-MX"/>
        </w:rPr>
      </w:pPr>
    </w:p>
    <w:p w:rsidR="005327AE" w:rsidRPr="007F50E2" w:rsidRDefault="005327AE" w:rsidP="005327AE">
      <w:pPr>
        <w:jc w:val="both"/>
        <w:rPr>
          <w:rFonts w:ascii="Candara" w:hAnsi="Candara"/>
          <w:sz w:val="24"/>
          <w:szCs w:val="24"/>
          <w:lang w:val="es-MX"/>
        </w:rPr>
      </w:pPr>
      <w:r w:rsidRPr="00AB3647">
        <w:rPr>
          <w:rFonts w:ascii="Candara" w:hAnsi="Candara"/>
          <w:sz w:val="24"/>
          <w:szCs w:val="24"/>
          <w:lang w:val="es-MX"/>
        </w:rPr>
        <w:t>Asimismo, la inversión para el Desarrollo Social ascendió a $</w:t>
      </w:r>
      <w:r w:rsidR="000850BF">
        <w:rPr>
          <w:rFonts w:ascii="Candara" w:hAnsi="Candara"/>
          <w:sz w:val="24"/>
          <w:szCs w:val="24"/>
          <w:lang w:val="es-MX"/>
        </w:rPr>
        <w:t>262.1</w:t>
      </w:r>
      <w:r w:rsidRPr="00AB3647">
        <w:rPr>
          <w:rFonts w:ascii="Candara" w:hAnsi="Candara"/>
          <w:sz w:val="24"/>
          <w:szCs w:val="24"/>
          <w:lang w:val="es-MX"/>
        </w:rPr>
        <w:t xml:space="preserve"> millones, con una participación del 4</w:t>
      </w:r>
      <w:r w:rsidR="00C67E88">
        <w:rPr>
          <w:rFonts w:ascii="Candara" w:hAnsi="Candara"/>
          <w:sz w:val="24"/>
          <w:szCs w:val="24"/>
          <w:lang w:val="es-MX"/>
        </w:rPr>
        <w:t>1</w:t>
      </w:r>
      <w:r w:rsidRPr="00AB3647">
        <w:rPr>
          <w:rFonts w:ascii="Candara" w:hAnsi="Candara"/>
          <w:sz w:val="24"/>
          <w:szCs w:val="24"/>
          <w:lang w:val="es-MX"/>
        </w:rPr>
        <w:t>.</w:t>
      </w:r>
      <w:r w:rsidR="000850BF">
        <w:rPr>
          <w:rFonts w:ascii="Candara" w:hAnsi="Candara"/>
          <w:sz w:val="24"/>
          <w:szCs w:val="24"/>
          <w:lang w:val="es-MX"/>
        </w:rPr>
        <w:t>2</w:t>
      </w:r>
      <w:r w:rsidRPr="00AB3647">
        <w:rPr>
          <w:rFonts w:ascii="Candara" w:hAnsi="Candara"/>
          <w:sz w:val="24"/>
          <w:szCs w:val="24"/>
          <w:lang w:val="es-MX"/>
        </w:rPr>
        <w:t>% en la inversión total, destacándose las obras para el Desarrollo Urbano y Comunal con $</w:t>
      </w:r>
      <w:r w:rsidR="000850BF">
        <w:rPr>
          <w:rFonts w:ascii="Candara" w:hAnsi="Candara"/>
          <w:sz w:val="24"/>
          <w:szCs w:val="24"/>
          <w:lang w:val="es-MX"/>
        </w:rPr>
        <w:t>88.6</w:t>
      </w:r>
      <w:r w:rsidRPr="00AB3647">
        <w:rPr>
          <w:rFonts w:ascii="Candara" w:hAnsi="Candara"/>
          <w:sz w:val="24"/>
          <w:szCs w:val="24"/>
          <w:lang w:val="es-MX"/>
        </w:rPr>
        <w:t xml:space="preserve"> millones, que representan el </w:t>
      </w:r>
      <w:r w:rsidR="00C67E88">
        <w:rPr>
          <w:rFonts w:ascii="Candara" w:hAnsi="Candara"/>
          <w:sz w:val="24"/>
          <w:szCs w:val="24"/>
          <w:lang w:val="es-MX"/>
        </w:rPr>
        <w:t>1</w:t>
      </w:r>
      <w:r w:rsidR="000850BF">
        <w:rPr>
          <w:rFonts w:ascii="Candara" w:hAnsi="Candara"/>
          <w:sz w:val="24"/>
          <w:szCs w:val="24"/>
          <w:lang w:val="es-MX"/>
        </w:rPr>
        <w:t>3.9</w:t>
      </w:r>
      <w:r w:rsidRPr="00AB3647">
        <w:rPr>
          <w:rFonts w:ascii="Candara" w:hAnsi="Candara"/>
          <w:sz w:val="24"/>
          <w:szCs w:val="24"/>
          <w:lang w:val="es-MX"/>
        </w:rPr>
        <w:t>%</w:t>
      </w:r>
      <w:r w:rsidR="00C67E88">
        <w:rPr>
          <w:rFonts w:ascii="Candara" w:hAnsi="Candara"/>
          <w:sz w:val="24"/>
          <w:szCs w:val="24"/>
          <w:lang w:val="es-MX"/>
        </w:rPr>
        <w:t xml:space="preserve"> y Educación y Cultura</w:t>
      </w:r>
      <w:r w:rsidRPr="00AB3647">
        <w:rPr>
          <w:rFonts w:ascii="Candara" w:hAnsi="Candara"/>
          <w:sz w:val="24"/>
          <w:szCs w:val="24"/>
          <w:lang w:val="es-MX"/>
        </w:rPr>
        <w:t xml:space="preserve">, </w:t>
      </w:r>
      <w:r w:rsidR="00C67E88">
        <w:rPr>
          <w:rFonts w:ascii="Candara" w:hAnsi="Candara"/>
          <w:sz w:val="24"/>
          <w:szCs w:val="24"/>
          <w:lang w:val="es-MX"/>
        </w:rPr>
        <w:t>con $</w:t>
      </w:r>
      <w:r w:rsidR="000850BF">
        <w:rPr>
          <w:rFonts w:ascii="Candara" w:hAnsi="Candara"/>
          <w:sz w:val="24"/>
          <w:szCs w:val="24"/>
          <w:lang w:val="es-MX"/>
        </w:rPr>
        <w:t>80.2</w:t>
      </w:r>
      <w:r w:rsidR="00C67E88">
        <w:rPr>
          <w:rFonts w:ascii="Candara" w:hAnsi="Candara"/>
          <w:sz w:val="24"/>
          <w:szCs w:val="24"/>
          <w:lang w:val="es-MX"/>
        </w:rPr>
        <w:t xml:space="preserve"> millones con una participación de 1</w:t>
      </w:r>
      <w:r w:rsidR="000850BF">
        <w:rPr>
          <w:rFonts w:ascii="Candara" w:hAnsi="Candara"/>
          <w:sz w:val="24"/>
          <w:szCs w:val="24"/>
          <w:lang w:val="es-MX"/>
        </w:rPr>
        <w:t>2.6</w:t>
      </w:r>
      <w:r w:rsidR="00C67E88">
        <w:rPr>
          <w:rFonts w:ascii="Candara" w:hAnsi="Candara"/>
          <w:sz w:val="24"/>
          <w:szCs w:val="24"/>
          <w:lang w:val="es-MX"/>
        </w:rPr>
        <w:t>%</w:t>
      </w:r>
      <w:r w:rsidR="00A41536">
        <w:rPr>
          <w:rFonts w:ascii="Candara" w:hAnsi="Candara"/>
          <w:sz w:val="24"/>
          <w:szCs w:val="24"/>
          <w:lang w:val="es-MX"/>
        </w:rPr>
        <w:t xml:space="preserve"> del total</w:t>
      </w:r>
      <w:r w:rsidR="00C67E88">
        <w:rPr>
          <w:rFonts w:ascii="Candara" w:hAnsi="Candara"/>
          <w:sz w:val="24"/>
          <w:szCs w:val="24"/>
          <w:lang w:val="es-MX"/>
        </w:rPr>
        <w:t xml:space="preserve">, </w:t>
      </w:r>
      <w:r w:rsidRPr="00AB3647">
        <w:rPr>
          <w:rFonts w:ascii="Candara" w:hAnsi="Candara"/>
          <w:sz w:val="24"/>
          <w:szCs w:val="24"/>
          <w:lang w:val="es-MX"/>
        </w:rPr>
        <w:t>entre otros.</w:t>
      </w:r>
      <w:r w:rsidR="00D912E4">
        <w:rPr>
          <w:rFonts w:ascii="Candara" w:hAnsi="Candara"/>
          <w:sz w:val="24"/>
          <w:szCs w:val="24"/>
          <w:lang w:val="es-MX"/>
        </w:rPr>
        <w:t xml:space="preserve"> </w:t>
      </w:r>
    </w:p>
    <w:p w:rsidR="00DD10B4" w:rsidRPr="004B1AD2" w:rsidRDefault="00DD10B4" w:rsidP="00746985">
      <w:pPr>
        <w:jc w:val="center"/>
        <w:rPr>
          <w:rFonts w:ascii="Candara" w:hAnsi="Candara"/>
          <w:b/>
          <w:sz w:val="24"/>
          <w:szCs w:val="24"/>
          <w:lang w:val="es-SV"/>
        </w:rPr>
      </w:pPr>
    </w:p>
    <w:p w:rsidR="00746985" w:rsidRPr="00752186" w:rsidRDefault="00746985" w:rsidP="00746985">
      <w:pPr>
        <w:jc w:val="center"/>
        <w:rPr>
          <w:rFonts w:ascii="Candara" w:hAnsi="Candara"/>
          <w:b/>
          <w:color w:val="FF0000"/>
          <w:sz w:val="24"/>
          <w:szCs w:val="24"/>
          <w:lang w:val="es-MX"/>
        </w:rPr>
      </w:pPr>
      <w:r w:rsidRPr="00752186">
        <w:rPr>
          <w:rFonts w:ascii="Candara" w:hAnsi="Candara"/>
          <w:b/>
          <w:sz w:val="24"/>
          <w:szCs w:val="24"/>
          <w:lang w:val="es-MX"/>
        </w:rPr>
        <w:t xml:space="preserve">Tabla </w:t>
      </w:r>
      <w:r w:rsidR="006B57E8">
        <w:rPr>
          <w:rFonts w:ascii="Candara" w:hAnsi="Candara"/>
          <w:b/>
          <w:sz w:val="24"/>
          <w:szCs w:val="24"/>
          <w:lang w:val="es-MX"/>
        </w:rPr>
        <w:t>4</w:t>
      </w:r>
      <w:r w:rsidRPr="00752186">
        <w:rPr>
          <w:rFonts w:ascii="Candara" w:hAnsi="Candara"/>
          <w:b/>
          <w:sz w:val="24"/>
          <w:szCs w:val="24"/>
          <w:lang w:val="es-MX"/>
        </w:rPr>
        <w:t xml:space="preserve">: Inversión </w:t>
      </w:r>
      <w:r w:rsidR="00E6182C" w:rsidRPr="00752186">
        <w:rPr>
          <w:rFonts w:ascii="Candara" w:hAnsi="Candara"/>
          <w:b/>
          <w:sz w:val="24"/>
          <w:szCs w:val="24"/>
          <w:lang w:val="es-MX"/>
        </w:rPr>
        <w:t>P</w:t>
      </w:r>
      <w:r w:rsidRPr="00752186">
        <w:rPr>
          <w:rFonts w:ascii="Candara" w:hAnsi="Candara"/>
          <w:b/>
          <w:sz w:val="24"/>
          <w:szCs w:val="24"/>
          <w:lang w:val="es-MX"/>
        </w:rPr>
        <w:t xml:space="preserve">ública por </w:t>
      </w:r>
      <w:r w:rsidR="00E6182C" w:rsidRPr="00752186">
        <w:rPr>
          <w:rFonts w:ascii="Candara" w:hAnsi="Candara"/>
          <w:b/>
          <w:sz w:val="24"/>
          <w:szCs w:val="24"/>
          <w:lang w:val="es-MX"/>
        </w:rPr>
        <w:t>S</w:t>
      </w:r>
      <w:r w:rsidRPr="00752186">
        <w:rPr>
          <w:rFonts w:ascii="Candara" w:hAnsi="Candara"/>
          <w:b/>
          <w:sz w:val="24"/>
          <w:szCs w:val="24"/>
          <w:lang w:val="es-MX"/>
        </w:rPr>
        <w:t xml:space="preserve">ectores de </w:t>
      </w:r>
      <w:r w:rsidR="00E6182C" w:rsidRPr="00752186">
        <w:rPr>
          <w:rFonts w:ascii="Candara" w:hAnsi="Candara"/>
          <w:b/>
          <w:sz w:val="24"/>
          <w:szCs w:val="24"/>
          <w:lang w:val="es-MX"/>
        </w:rPr>
        <w:t>A</w:t>
      </w:r>
      <w:r w:rsidRPr="00752186">
        <w:rPr>
          <w:rFonts w:ascii="Candara" w:hAnsi="Candara"/>
          <w:b/>
          <w:sz w:val="24"/>
          <w:szCs w:val="24"/>
          <w:lang w:val="es-MX"/>
        </w:rPr>
        <w:t xml:space="preserve">ctividad a </w:t>
      </w:r>
      <w:r w:rsidR="006854AC">
        <w:rPr>
          <w:rFonts w:ascii="Candara" w:hAnsi="Candara"/>
          <w:b/>
          <w:sz w:val="24"/>
          <w:szCs w:val="24"/>
          <w:lang w:val="es-MX"/>
        </w:rPr>
        <w:t>diciembre</w:t>
      </w:r>
      <w:r w:rsidRPr="00752186">
        <w:rPr>
          <w:rFonts w:ascii="Candara" w:hAnsi="Candara"/>
          <w:b/>
          <w:sz w:val="24"/>
          <w:szCs w:val="24"/>
          <w:lang w:val="es-MX"/>
        </w:rPr>
        <w:t xml:space="preserve"> </w:t>
      </w:r>
      <w:r w:rsidR="00042C94" w:rsidRPr="00752186">
        <w:rPr>
          <w:rFonts w:ascii="Candara" w:hAnsi="Candara"/>
          <w:b/>
          <w:sz w:val="24"/>
          <w:szCs w:val="24"/>
          <w:lang w:val="es-MX"/>
        </w:rPr>
        <w:t>2020</w:t>
      </w:r>
      <w:r w:rsidRPr="00752186">
        <w:rPr>
          <w:rFonts w:ascii="Candara" w:hAnsi="Candara"/>
          <w:b/>
          <w:sz w:val="24"/>
          <w:szCs w:val="24"/>
          <w:lang w:val="es-MX"/>
        </w:rPr>
        <w:t xml:space="preserve"> </w:t>
      </w:r>
    </w:p>
    <w:p w:rsidR="00746985" w:rsidRPr="00752186" w:rsidRDefault="00746985" w:rsidP="00746985">
      <w:pPr>
        <w:jc w:val="center"/>
        <w:rPr>
          <w:rFonts w:ascii="Candara" w:hAnsi="Candara"/>
          <w:b/>
          <w:sz w:val="24"/>
          <w:szCs w:val="24"/>
          <w:lang w:val="es-MX"/>
        </w:rPr>
      </w:pPr>
      <w:r w:rsidRPr="00752186">
        <w:rPr>
          <w:rFonts w:ascii="Candara" w:hAnsi="Candara"/>
          <w:b/>
          <w:sz w:val="24"/>
          <w:szCs w:val="24"/>
        </w:rPr>
        <w:t xml:space="preserve"> </w:t>
      </w:r>
      <w:r w:rsidRPr="00752186">
        <w:rPr>
          <w:rFonts w:ascii="Candara" w:hAnsi="Candara"/>
          <w:b/>
          <w:sz w:val="24"/>
          <w:szCs w:val="24"/>
          <w:lang w:val="es-MX"/>
        </w:rPr>
        <w:t>(En millones de $ y % de Participación)</w:t>
      </w:r>
    </w:p>
    <w:p w:rsidR="005327AE" w:rsidRPr="00752186" w:rsidRDefault="005327AE" w:rsidP="00746985">
      <w:pPr>
        <w:jc w:val="center"/>
        <w:rPr>
          <w:rFonts w:ascii="Candara" w:hAnsi="Candara"/>
          <w:b/>
          <w:sz w:val="24"/>
          <w:szCs w:val="24"/>
          <w:lang w:val="es-MX"/>
        </w:rPr>
      </w:pPr>
    </w:p>
    <w:p w:rsidR="007D580D" w:rsidRPr="002A2E39" w:rsidRDefault="00D15ED9" w:rsidP="00746985">
      <w:pPr>
        <w:jc w:val="center"/>
        <w:rPr>
          <w:rFonts w:ascii="Candara" w:hAnsi="Candara"/>
          <w:sz w:val="16"/>
          <w:szCs w:val="16"/>
          <w:lang w:val="es-MX"/>
        </w:rPr>
      </w:pPr>
      <w:r w:rsidRPr="00D15ED9">
        <w:rPr>
          <w:noProof/>
        </w:rPr>
        <w:drawing>
          <wp:inline distT="0" distB="0" distL="0" distR="0" wp14:anchorId="00B44738" wp14:editId="0CBF642C">
            <wp:extent cx="5732145" cy="4841240"/>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2145" cy="4841240"/>
                    </a:xfrm>
                    <a:prstGeom prst="rect">
                      <a:avLst/>
                    </a:prstGeom>
                    <a:noFill/>
                    <a:ln>
                      <a:noFill/>
                    </a:ln>
                  </pic:spPr>
                </pic:pic>
              </a:graphicData>
            </a:graphic>
          </wp:inline>
        </w:drawing>
      </w:r>
    </w:p>
    <w:p w:rsidR="00746985" w:rsidRPr="007F50E2" w:rsidRDefault="00746985" w:rsidP="00746985">
      <w:pPr>
        <w:jc w:val="center"/>
        <w:rPr>
          <w:rFonts w:ascii="Candara" w:hAnsi="Candara"/>
          <w:sz w:val="24"/>
          <w:szCs w:val="24"/>
          <w:lang w:val="es-MX"/>
        </w:rPr>
      </w:pPr>
    </w:p>
    <w:p w:rsidR="00AB5AA8" w:rsidRPr="007F50E2" w:rsidRDefault="00AB5AA8" w:rsidP="00726D9A">
      <w:pPr>
        <w:jc w:val="both"/>
        <w:rPr>
          <w:rFonts w:ascii="Candara" w:hAnsi="Candara"/>
          <w:sz w:val="24"/>
          <w:szCs w:val="24"/>
          <w:lang w:val="es-MX"/>
        </w:rPr>
      </w:pPr>
      <w:bookmarkStart w:id="50" w:name="_Toc308681668"/>
    </w:p>
    <w:p w:rsidR="00886FAC" w:rsidRPr="00886FAC" w:rsidRDefault="00886FAC" w:rsidP="00886FAC">
      <w:pPr>
        <w:jc w:val="both"/>
        <w:rPr>
          <w:rFonts w:ascii="Candara" w:hAnsi="Candara"/>
          <w:sz w:val="24"/>
          <w:szCs w:val="24"/>
          <w:lang w:val="es-MX"/>
        </w:rPr>
      </w:pPr>
      <w:r w:rsidRPr="00886FAC">
        <w:rPr>
          <w:rFonts w:ascii="Candara" w:hAnsi="Candara"/>
          <w:sz w:val="24"/>
          <w:szCs w:val="24"/>
          <w:lang w:val="es-MX"/>
        </w:rPr>
        <w:t xml:space="preserve">Entre los programas y proyectos con mayores avances al mes de </w:t>
      </w:r>
      <w:r w:rsidR="006854AC">
        <w:rPr>
          <w:rFonts w:ascii="Candara" w:hAnsi="Candara"/>
          <w:sz w:val="24"/>
          <w:szCs w:val="24"/>
          <w:lang w:val="es-MX"/>
        </w:rPr>
        <w:t>diciembre</w:t>
      </w:r>
      <w:r w:rsidRPr="00886FAC">
        <w:rPr>
          <w:rFonts w:ascii="Candara" w:hAnsi="Candara"/>
          <w:sz w:val="24"/>
          <w:szCs w:val="24"/>
          <w:lang w:val="es-MX"/>
        </w:rPr>
        <w:t xml:space="preserve"> 2020 se destacan los siguientes:</w:t>
      </w:r>
    </w:p>
    <w:p w:rsidR="00886FAC" w:rsidRPr="00886FAC" w:rsidRDefault="00886FAC" w:rsidP="00886FAC">
      <w:pPr>
        <w:jc w:val="both"/>
        <w:rPr>
          <w:rFonts w:ascii="Candara" w:hAnsi="Candara"/>
          <w:sz w:val="24"/>
          <w:szCs w:val="24"/>
          <w:lang w:val="es-MX"/>
        </w:rPr>
      </w:pPr>
    </w:p>
    <w:p w:rsidR="00886FAC" w:rsidRPr="00397B23" w:rsidRDefault="00886FAC" w:rsidP="00886FAC">
      <w:pPr>
        <w:jc w:val="both"/>
        <w:rPr>
          <w:rFonts w:ascii="Candara" w:hAnsi="Candara"/>
          <w:sz w:val="24"/>
          <w:szCs w:val="24"/>
          <w:lang w:val="es-MX"/>
        </w:rPr>
      </w:pPr>
      <w:r w:rsidRPr="00397B23">
        <w:rPr>
          <w:rFonts w:ascii="Candara" w:hAnsi="Candara"/>
          <w:b/>
          <w:sz w:val="24"/>
          <w:szCs w:val="24"/>
          <w:lang w:val="es-MX"/>
        </w:rPr>
        <w:t>CEL</w:t>
      </w:r>
      <w:r w:rsidRPr="00397B23">
        <w:rPr>
          <w:rFonts w:ascii="Candara" w:hAnsi="Candara"/>
          <w:sz w:val="24"/>
          <w:szCs w:val="24"/>
          <w:lang w:val="es-MX"/>
        </w:rPr>
        <w:t xml:space="preserve">: Proyecto Hidroeléctrico el Chaparral. </w:t>
      </w:r>
    </w:p>
    <w:p w:rsidR="00886FAC" w:rsidRPr="000850BF" w:rsidRDefault="00886FAC" w:rsidP="00886FAC">
      <w:pPr>
        <w:jc w:val="both"/>
        <w:rPr>
          <w:rFonts w:ascii="Candara" w:hAnsi="Candara"/>
          <w:sz w:val="24"/>
          <w:szCs w:val="24"/>
          <w:highlight w:val="yellow"/>
          <w:lang w:val="es-MX"/>
        </w:rPr>
      </w:pPr>
    </w:p>
    <w:p w:rsidR="00886FAC" w:rsidRPr="008374A9" w:rsidRDefault="00886FAC" w:rsidP="00886FAC">
      <w:pPr>
        <w:jc w:val="both"/>
        <w:rPr>
          <w:rFonts w:ascii="Candara" w:hAnsi="Candara"/>
          <w:sz w:val="24"/>
          <w:szCs w:val="24"/>
          <w:lang w:val="es-MX"/>
        </w:rPr>
      </w:pPr>
      <w:r w:rsidRPr="008374A9">
        <w:rPr>
          <w:rFonts w:ascii="Candara" w:hAnsi="Candara"/>
          <w:b/>
          <w:sz w:val="24"/>
          <w:szCs w:val="24"/>
          <w:lang w:val="es-MX"/>
        </w:rPr>
        <w:t>FOVIAL</w:t>
      </w:r>
      <w:r w:rsidRPr="008374A9">
        <w:rPr>
          <w:rFonts w:ascii="Candara" w:hAnsi="Candara"/>
          <w:sz w:val="24"/>
          <w:szCs w:val="24"/>
          <w:lang w:val="es-MX"/>
        </w:rPr>
        <w:t>: Programa de Mantenimiento Periódico, Programa de mantenimiento rutinario de vías pavimentadas a nivel nacional.</w:t>
      </w:r>
    </w:p>
    <w:p w:rsidR="00886FAC" w:rsidRPr="000850BF" w:rsidRDefault="00886FAC" w:rsidP="00886FAC">
      <w:pPr>
        <w:jc w:val="both"/>
        <w:rPr>
          <w:rFonts w:ascii="Candara" w:hAnsi="Candara"/>
          <w:sz w:val="24"/>
          <w:szCs w:val="24"/>
          <w:highlight w:val="yellow"/>
          <w:lang w:val="es-MX"/>
        </w:rPr>
      </w:pPr>
    </w:p>
    <w:p w:rsidR="00886FAC" w:rsidRPr="008374A9" w:rsidRDefault="00886FAC" w:rsidP="00886FAC">
      <w:pPr>
        <w:jc w:val="both"/>
        <w:rPr>
          <w:rFonts w:ascii="Candara" w:hAnsi="Candara"/>
          <w:sz w:val="24"/>
          <w:szCs w:val="24"/>
          <w:lang w:val="es-MX"/>
        </w:rPr>
      </w:pPr>
      <w:r w:rsidRPr="008374A9">
        <w:rPr>
          <w:rFonts w:ascii="Candara" w:hAnsi="Candara"/>
          <w:b/>
          <w:sz w:val="24"/>
          <w:szCs w:val="24"/>
          <w:lang w:val="es-MX"/>
        </w:rPr>
        <w:t>FOMILENIO</w:t>
      </w:r>
      <w:r w:rsidRPr="008374A9">
        <w:rPr>
          <w:rFonts w:ascii="Candara" w:hAnsi="Candara"/>
          <w:sz w:val="24"/>
          <w:szCs w:val="24"/>
          <w:lang w:val="es-MX"/>
        </w:rPr>
        <w:t xml:space="preserve">: Proyecto de Capital Humano - Actividad Secundaria para la Ejecución del Modelo Inclusivo de Tiempo Completo, Proyecto de Infraestructura Logística - Actividad Secundaria Construcción de Expansión de Carretera del Litoral. Proyecto de Infraestructura Logística - Actividad Secundaria de Construcción de Infraestructura en el Cruce Fronterizo. </w:t>
      </w:r>
    </w:p>
    <w:p w:rsidR="00886FAC" w:rsidRPr="000850BF" w:rsidRDefault="00886FAC" w:rsidP="00886FAC">
      <w:pPr>
        <w:jc w:val="both"/>
        <w:rPr>
          <w:rFonts w:ascii="Candara" w:hAnsi="Candara"/>
          <w:sz w:val="24"/>
          <w:szCs w:val="24"/>
          <w:highlight w:val="yellow"/>
          <w:lang w:val="es-MX"/>
        </w:rPr>
      </w:pPr>
    </w:p>
    <w:p w:rsidR="00886FAC" w:rsidRPr="00397B23" w:rsidRDefault="00886FAC" w:rsidP="00886FAC">
      <w:pPr>
        <w:jc w:val="both"/>
        <w:rPr>
          <w:rFonts w:ascii="Candara" w:hAnsi="Candara"/>
          <w:sz w:val="24"/>
          <w:szCs w:val="24"/>
          <w:lang w:val="es-MX"/>
        </w:rPr>
      </w:pPr>
      <w:r w:rsidRPr="00397B23">
        <w:rPr>
          <w:rFonts w:ascii="Candara" w:hAnsi="Candara"/>
          <w:b/>
          <w:sz w:val="24"/>
          <w:szCs w:val="24"/>
          <w:lang w:val="es-MX"/>
        </w:rPr>
        <w:t>CEPA</w:t>
      </w:r>
      <w:r w:rsidRPr="00397B23">
        <w:rPr>
          <w:rFonts w:ascii="Candara" w:hAnsi="Candara"/>
          <w:sz w:val="24"/>
          <w:szCs w:val="24"/>
          <w:lang w:val="es-MX"/>
        </w:rPr>
        <w:t>; Ampliación de Terminal de Pasajeros del Aeropuerto Internacional de El Salvador, Monseñor Oscar Arnulfo Romero y Galdámez, Modernización de la Infraestructura de Recepción y Despacho de Carga en la Zona del Acceso 1 y Bulevar Óscar Osorio del Puerto de Acajutla.</w:t>
      </w:r>
    </w:p>
    <w:p w:rsidR="00886FAC" w:rsidRPr="000850BF" w:rsidRDefault="00886FAC" w:rsidP="00886FAC">
      <w:pPr>
        <w:jc w:val="both"/>
        <w:rPr>
          <w:rFonts w:ascii="Candara" w:hAnsi="Candara"/>
          <w:sz w:val="24"/>
          <w:szCs w:val="24"/>
          <w:highlight w:val="yellow"/>
          <w:lang w:val="es-MX"/>
        </w:rPr>
      </w:pPr>
    </w:p>
    <w:p w:rsidR="00BC4657" w:rsidRPr="00BC4657" w:rsidRDefault="00886FAC" w:rsidP="00BC4657">
      <w:pPr>
        <w:tabs>
          <w:tab w:val="left" w:pos="284"/>
        </w:tabs>
        <w:jc w:val="both"/>
        <w:rPr>
          <w:rFonts w:ascii="Candara" w:hAnsi="Candara"/>
          <w:sz w:val="24"/>
          <w:szCs w:val="24"/>
          <w:lang w:val="es-MX"/>
        </w:rPr>
      </w:pPr>
      <w:r w:rsidRPr="00BC4657">
        <w:rPr>
          <w:rFonts w:ascii="Candara" w:hAnsi="Candara"/>
          <w:b/>
          <w:sz w:val="24"/>
          <w:szCs w:val="24"/>
          <w:lang w:val="es-MX"/>
        </w:rPr>
        <w:t>MINSAL</w:t>
      </w:r>
      <w:r w:rsidRPr="00BC4657">
        <w:rPr>
          <w:rFonts w:ascii="Candara" w:hAnsi="Candara"/>
          <w:sz w:val="24"/>
          <w:szCs w:val="24"/>
          <w:lang w:val="es-MX"/>
        </w:rPr>
        <w:t>: Programa Integrado de Salud II</w:t>
      </w:r>
      <w:r w:rsidR="00BC4657" w:rsidRPr="00BC4657">
        <w:rPr>
          <w:rFonts w:ascii="Candara" w:hAnsi="Candara"/>
          <w:sz w:val="24"/>
          <w:szCs w:val="24"/>
          <w:lang w:val="es-MX"/>
        </w:rPr>
        <w:t xml:space="preserve"> y</w:t>
      </w:r>
      <w:r w:rsidR="00BC4657" w:rsidRPr="00BC4657">
        <w:rPr>
          <w:rFonts w:ascii="Arial" w:hAnsi="Arial" w:cs="Arial"/>
          <w:i/>
          <w:iCs/>
          <w:sz w:val="22"/>
          <w:szCs w:val="22"/>
          <w:lang w:val="es-MX"/>
        </w:rPr>
        <w:t xml:space="preserve"> </w:t>
      </w:r>
      <w:r w:rsidR="00BC4657" w:rsidRPr="00BC4657">
        <w:rPr>
          <w:rFonts w:ascii="Candara" w:hAnsi="Candara"/>
          <w:sz w:val="24"/>
          <w:szCs w:val="24"/>
          <w:lang w:val="es-MX"/>
        </w:rPr>
        <w:t>Programa Salud Mesoamérica 2015 – El Salvador.</w:t>
      </w:r>
    </w:p>
    <w:p w:rsidR="00886FAC" w:rsidRPr="000850BF" w:rsidRDefault="00886FAC" w:rsidP="00886FAC">
      <w:pPr>
        <w:jc w:val="both"/>
        <w:rPr>
          <w:rFonts w:ascii="Candara" w:hAnsi="Candara"/>
          <w:sz w:val="24"/>
          <w:szCs w:val="24"/>
          <w:highlight w:val="yellow"/>
          <w:lang w:val="es-MX"/>
        </w:rPr>
      </w:pPr>
      <w:r w:rsidRPr="000850BF">
        <w:rPr>
          <w:rFonts w:ascii="Candara" w:hAnsi="Candara"/>
          <w:sz w:val="24"/>
          <w:szCs w:val="24"/>
          <w:highlight w:val="yellow"/>
          <w:lang w:val="es-MX"/>
        </w:rPr>
        <w:t xml:space="preserve"> </w:t>
      </w:r>
    </w:p>
    <w:p w:rsidR="00397B23" w:rsidRPr="00397B23" w:rsidRDefault="00397B23" w:rsidP="00397B23">
      <w:pPr>
        <w:tabs>
          <w:tab w:val="left" w:pos="284"/>
        </w:tabs>
        <w:jc w:val="both"/>
        <w:rPr>
          <w:rFonts w:ascii="Candara" w:hAnsi="Candara"/>
          <w:sz w:val="24"/>
          <w:szCs w:val="24"/>
          <w:lang w:val="es-MX"/>
        </w:rPr>
      </w:pPr>
      <w:r w:rsidRPr="00A41536">
        <w:rPr>
          <w:rFonts w:ascii="Candara" w:hAnsi="Candara"/>
          <w:b/>
          <w:sz w:val="24"/>
          <w:szCs w:val="24"/>
          <w:lang w:val="es-MX"/>
        </w:rPr>
        <w:t>MINEDUCYT:</w:t>
      </w:r>
      <w:r w:rsidRPr="00397B23">
        <w:rPr>
          <w:rFonts w:ascii="Candara" w:hAnsi="Candara"/>
          <w:sz w:val="24"/>
          <w:szCs w:val="24"/>
          <w:lang w:val="es-MX"/>
        </w:rPr>
        <w:t xml:space="preserve"> Programa de mejoramiento de ambientes educativos para la formación integral y aprendizajes a nivel nacional; Programa de equipamiento y capacitación docente en tecnología e innovación al servicio de los aprendizajes a nivel nacional</w:t>
      </w:r>
      <w:r>
        <w:rPr>
          <w:rFonts w:ascii="Candara" w:hAnsi="Candara"/>
          <w:sz w:val="24"/>
          <w:szCs w:val="24"/>
          <w:lang w:val="es-MX"/>
        </w:rPr>
        <w:t>.</w:t>
      </w:r>
    </w:p>
    <w:p w:rsidR="00397B23" w:rsidRPr="007C7B20" w:rsidRDefault="00397B23" w:rsidP="00397B23">
      <w:pPr>
        <w:pStyle w:val="ListParagraph"/>
        <w:rPr>
          <w:rFonts w:ascii="Arial" w:hAnsi="Arial" w:cs="Arial"/>
          <w:i/>
          <w:iCs/>
          <w:sz w:val="22"/>
          <w:szCs w:val="22"/>
          <w:lang w:val="es-MX"/>
        </w:rPr>
      </w:pPr>
    </w:p>
    <w:p w:rsidR="00886FAC" w:rsidRPr="00BC4657" w:rsidRDefault="00886FAC" w:rsidP="00886FAC">
      <w:pPr>
        <w:jc w:val="both"/>
        <w:rPr>
          <w:rFonts w:ascii="Candara" w:hAnsi="Candara"/>
          <w:sz w:val="24"/>
          <w:szCs w:val="24"/>
          <w:lang w:val="es-MX"/>
        </w:rPr>
      </w:pPr>
      <w:r w:rsidRPr="00BC4657">
        <w:rPr>
          <w:rFonts w:ascii="Candara" w:hAnsi="Candara"/>
          <w:b/>
          <w:sz w:val="24"/>
          <w:szCs w:val="24"/>
          <w:lang w:val="es-MX"/>
        </w:rPr>
        <w:t>MOP</w:t>
      </w:r>
      <w:r w:rsidRPr="00BC4657">
        <w:rPr>
          <w:rFonts w:ascii="Candara" w:hAnsi="Candara"/>
          <w:sz w:val="24"/>
          <w:szCs w:val="24"/>
          <w:lang w:val="es-MX"/>
        </w:rPr>
        <w:t>: Construcción de Bypass en la Ciudad de San Miguel, Construcción de Hospital de Especialidades para atención de la emergencia por COVID -19, San Salvador, Ampliación de la carretera CA04S, Tramo III: Construcción By Pass de La Libertad, Entre Km. 31.86 (Carretera CA04S) - Km. 35 (Carretera CA02W), Departamento de La Libertad</w:t>
      </w:r>
      <w:r w:rsidR="00A41536">
        <w:rPr>
          <w:rFonts w:ascii="Candara" w:hAnsi="Candara"/>
          <w:sz w:val="24"/>
          <w:szCs w:val="24"/>
          <w:lang w:val="es-MX"/>
        </w:rPr>
        <w:t>.</w:t>
      </w:r>
    </w:p>
    <w:p w:rsidR="00886FAC" w:rsidRPr="000850BF" w:rsidRDefault="00886FAC" w:rsidP="00886FAC">
      <w:pPr>
        <w:jc w:val="both"/>
        <w:rPr>
          <w:rFonts w:ascii="Candara" w:hAnsi="Candara"/>
          <w:sz w:val="24"/>
          <w:szCs w:val="24"/>
          <w:highlight w:val="yellow"/>
          <w:lang w:val="es-MX"/>
        </w:rPr>
      </w:pPr>
    </w:p>
    <w:p w:rsidR="00752186" w:rsidRPr="00752186" w:rsidRDefault="00752186" w:rsidP="00752186">
      <w:pPr>
        <w:jc w:val="both"/>
        <w:rPr>
          <w:rFonts w:ascii="Candara" w:hAnsi="Candara"/>
          <w:sz w:val="24"/>
          <w:szCs w:val="24"/>
          <w:lang w:val="es-MX"/>
        </w:rPr>
      </w:pPr>
      <w:r w:rsidRPr="00397B23">
        <w:rPr>
          <w:rFonts w:ascii="Candara" w:hAnsi="Candara"/>
          <w:b/>
          <w:sz w:val="24"/>
          <w:szCs w:val="24"/>
          <w:lang w:val="es-MX"/>
        </w:rPr>
        <w:t>ANDA</w:t>
      </w:r>
      <w:r w:rsidRPr="00397B23">
        <w:rPr>
          <w:rFonts w:ascii="Candara" w:hAnsi="Candara"/>
          <w:sz w:val="24"/>
          <w:szCs w:val="24"/>
          <w:lang w:val="es-MX"/>
        </w:rPr>
        <w:t xml:space="preserve">: Rehabilitación de las obras de captación, potabilización y electromecánicas de planta potabilizadora las pavas municipio de </w:t>
      </w:r>
      <w:r w:rsidR="00745752" w:rsidRPr="00397B23">
        <w:rPr>
          <w:rFonts w:ascii="Candara" w:hAnsi="Candara"/>
          <w:sz w:val="24"/>
          <w:szCs w:val="24"/>
          <w:lang w:val="es-MX"/>
        </w:rPr>
        <w:t>S</w:t>
      </w:r>
      <w:r w:rsidRPr="00397B23">
        <w:rPr>
          <w:rFonts w:ascii="Candara" w:hAnsi="Candara"/>
          <w:sz w:val="24"/>
          <w:szCs w:val="24"/>
          <w:lang w:val="es-MX"/>
        </w:rPr>
        <w:t xml:space="preserve">an Pablo </w:t>
      </w:r>
      <w:proofErr w:type="spellStart"/>
      <w:r w:rsidRPr="00397B23">
        <w:rPr>
          <w:rFonts w:ascii="Candara" w:hAnsi="Candara"/>
          <w:sz w:val="24"/>
          <w:szCs w:val="24"/>
          <w:lang w:val="es-MX"/>
        </w:rPr>
        <w:t>Tacachico</w:t>
      </w:r>
      <w:proofErr w:type="spellEnd"/>
      <w:r w:rsidRPr="00397B23">
        <w:rPr>
          <w:rFonts w:ascii="Candara" w:hAnsi="Candara"/>
          <w:sz w:val="24"/>
          <w:szCs w:val="24"/>
          <w:lang w:val="es-MX"/>
        </w:rPr>
        <w:t>, Departamentos del Libertad</w:t>
      </w:r>
      <w:r w:rsidR="00A41536">
        <w:rPr>
          <w:rFonts w:ascii="Candara" w:hAnsi="Candara"/>
          <w:sz w:val="24"/>
          <w:szCs w:val="24"/>
          <w:lang w:val="es-MX"/>
        </w:rPr>
        <w:t>,</w:t>
      </w:r>
      <w:r w:rsidRPr="00397B23">
        <w:rPr>
          <w:rFonts w:ascii="Candara" w:hAnsi="Candara"/>
          <w:sz w:val="24"/>
          <w:szCs w:val="24"/>
          <w:lang w:val="es-MX"/>
        </w:rPr>
        <w:t xml:space="preserve"> El Salvador.</w:t>
      </w:r>
      <w:r w:rsidRPr="00752186">
        <w:rPr>
          <w:rFonts w:ascii="Candara" w:hAnsi="Candara"/>
          <w:sz w:val="24"/>
          <w:szCs w:val="24"/>
          <w:lang w:val="es-MX"/>
        </w:rPr>
        <w:tab/>
      </w:r>
    </w:p>
    <w:p w:rsidR="00752186" w:rsidRDefault="00752186" w:rsidP="00AE0AA6">
      <w:pPr>
        <w:jc w:val="both"/>
        <w:rPr>
          <w:rFonts w:ascii="Candara" w:hAnsi="Candara"/>
          <w:sz w:val="24"/>
          <w:szCs w:val="24"/>
          <w:lang w:val="es-MX"/>
        </w:rPr>
      </w:pPr>
    </w:p>
    <w:p w:rsidR="00E56600" w:rsidRPr="00D674F4" w:rsidRDefault="00E56600" w:rsidP="007C58DB">
      <w:pPr>
        <w:rPr>
          <w:rFonts w:ascii="Candara" w:hAnsi="Candara"/>
          <w:b/>
          <w:sz w:val="24"/>
          <w:szCs w:val="24"/>
          <w:lang w:val="es-MX"/>
        </w:rPr>
      </w:pPr>
      <w:r w:rsidRPr="00D674F4">
        <w:rPr>
          <w:rFonts w:ascii="Candara" w:hAnsi="Candara"/>
          <w:b/>
          <w:sz w:val="24"/>
          <w:szCs w:val="24"/>
          <w:lang w:val="es-MX"/>
        </w:rPr>
        <w:t>Concesión Neta de Préstamos</w:t>
      </w:r>
    </w:p>
    <w:p w:rsidR="00E56600" w:rsidRPr="00855AEE" w:rsidRDefault="00E56600" w:rsidP="007C58DB"/>
    <w:p w:rsidR="00E56600" w:rsidRPr="00790332" w:rsidRDefault="00E56600" w:rsidP="007C58DB">
      <w:pPr>
        <w:jc w:val="both"/>
        <w:rPr>
          <w:rFonts w:ascii="Candara" w:hAnsi="Candara"/>
          <w:sz w:val="24"/>
          <w:szCs w:val="24"/>
          <w:lang w:val="es-MX"/>
        </w:rPr>
      </w:pPr>
      <w:r w:rsidRPr="00790332">
        <w:rPr>
          <w:rFonts w:ascii="Candara" w:hAnsi="Candara"/>
          <w:sz w:val="24"/>
          <w:szCs w:val="24"/>
          <w:lang w:val="es-MX"/>
        </w:rPr>
        <w:t>Dentro de este apartado se reflejan las concesiones de préstamos acumulados del Gobierno para fines de política,  por un monto de $ 460.0 millones, que complementa la transferencia corriente ya mencionada como subsidio por $ 140.0 millones al Sector de MIPYMES, resultado de un préstamo otorgado a BANDESAL en el mes de septiembre 2020, para la constitución de fideicomiso para la Recuperación Económica de las Empresas Salvadoreñas (FIREMPRESA), creando con este préstamo dos programas:1) Programa de Otorgamiento de Créditos para las MIPYMES por $ 360.0 millones, correspondientes al Sector Formal y 2) Programa de Financiamiento Productivo para empresarios y pequeños comerciantes del sector informal por $ 100.0 millones</w:t>
      </w:r>
      <w:r w:rsidR="00790332">
        <w:rPr>
          <w:rFonts w:ascii="Candara" w:hAnsi="Candara"/>
          <w:sz w:val="24"/>
          <w:szCs w:val="24"/>
          <w:lang w:val="es-MX"/>
        </w:rPr>
        <w:t>.</w:t>
      </w:r>
    </w:p>
    <w:p w:rsidR="00121393" w:rsidRPr="00033BDB" w:rsidRDefault="00AA7D08" w:rsidP="00033BDB">
      <w:pPr>
        <w:pStyle w:val="Heading3"/>
        <w:rPr>
          <w:rFonts w:ascii="Candara" w:hAnsi="Candara"/>
          <w:b/>
          <w:lang w:val="es-MX"/>
        </w:rPr>
      </w:pPr>
      <w:bookmarkStart w:id="51" w:name="_Toc505951457"/>
      <w:bookmarkStart w:id="52" w:name="_Toc56581213"/>
      <w:bookmarkStart w:id="53" w:name="_Toc64531478"/>
      <w:r w:rsidRPr="00033BDB">
        <w:rPr>
          <w:rFonts w:ascii="Candara" w:hAnsi="Candara"/>
          <w:b/>
          <w:lang w:val="es-MX"/>
        </w:rPr>
        <w:lastRenderedPageBreak/>
        <w:t>3</w:t>
      </w:r>
      <w:r w:rsidR="009B117C" w:rsidRPr="00033BDB">
        <w:rPr>
          <w:rFonts w:ascii="Candara" w:hAnsi="Candara"/>
          <w:b/>
          <w:lang w:val="es-MX"/>
        </w:rPr>
        <w:t xml:space="preserve">. </w:t>
      </w:r>
      <w:r w:rsidR="00442DE5" w:rsidRPr="00033BDB">
        <w:rPr>
          <w:rFonts w:ascii="Candara" w:hAnsi="Candara"/>
          <w:b/>
          <w:lang w:val="es-MX"/>
        </w:rPr>
        <w:t>Deuda del SPNF</w:t>
      </w:r>
      <w:bookmarkEnd w:id="51"/>
      <w:bookmarkEnd w:id="52"/>
      <w:r w:rsidR="00121393" w:rsidRPr="00033BDB">
        <w:rPr>
          <w:rFonts w:ascii="Candara" w:hAnsi="Candara"/>
          <w:b/>
          <w:lang w:val="es-MX"/>
        </w:rPr>
        <w:t xml:space="preserve"> </w:t>
      </w:r>
      <w:r w:rsidR="00404593">
        <w:rPr>
          <w:rFonts w:ascii="Candara" w:hAnsi="Candara"/>
          <w:b/>
          <w:lang w:val="es-MX"/>
        </w:rPr>
        <w:t>(ver anexo 5)</w:t>
      </w:r>
      <w:bookmarkEnd w:id="53"/>
    </w:p>
    <w:p w:rsidR="00442DE5" w:rsidRPr="007F50E2" w:rsidRDefault="00442DE5" w:rsidP="00442DE5">
      <w:pPr>
        <w:jc w:val="both"/>
        <w:rPr>
          <w:rFonts w:ascii="Candara" w:hAnsi="Candara"/>
          <w:sz w:val="24"/>
          <w:szCs w:val="24"/>
          <w:lang w:val="es-MX"/>
        </w:rPr>
      </w:pPr>
    </w:p>
    <w:p w:rsidR="00092055" w:rsidRPr="007F50E2" w:rsidRDefault="00092055" w:rsidP="004A685A">
      <w:pPr>
        <w:jc w:val="both"/>
        <w:rPr>
          <w:rFonts w:ascii="Candara" w:hAnsi="Candara"/>
          <w:sz w:val="24"/>
          <w:szCs w:val="24"/>
          <w:lang w:val="es-MX"/>
        </w:rPr>
      </w:pPr>
      <w:r w:rsidRPr="003E7EAD">
        <w:rPr>
          <w:rFonts w:ascii="Candara" w:hAnsi="Candara"/>
          <w:sz w:val="24"/>
          <w:szCs w:val="24"/>
          <w:lang w:val="es-MX"/>
        </w:rPr>
        <w:t xml:space="preserve">La deuda del SPNF sin incluir pensiones al mes de </w:t>
      </w:r>
      <w:r w:rsidR="006854AC">
        <w:rPr>
          <w:rFonts w:ascii="Candara" w:hAnsi="Candara"/>
          <w:sz w:val="24"/>
          <w:szCs w:val="24"/>
          <w:lang w:val="es-MX"/>
        </w:rPr>
        <w:t>diciembre</w:t>
      </w:r>
      <w:r w:rsidR="0006124F" w:rsidRPr="003E7EAD">
        <w:rPr>
          <w:rFonts w:ascii="Candara" w:hAnsi="Candara"/>
          <w:sz w:val="24"/>
          <w:szCs w:val="24"/>
          <w:lang w:val="es-MX"/>
        </w:rPr>
        <w:t xml:space="preserve"> </w:t>
      </w:r>
      <w:r w:rsidR="00042C94" w:rsidRPr="003E7EAD">
        <w:rPr>
          <w:rFonts w:ascii="Candara" w:hAnsi="Candara"/>
          <w:sz w:val="24"/>
          <w:szCs w:val="24"/>
          <w:lang w:val="es-MX"/>
        </w:rPr>
        <w:t>20</w:t>
      </w:r>
      <w:r w:rsidR="00420EE2" w:rsidRPr="003E7EAD">
        <w:rPr>
          <w:rFonts w:ascii="Candara" w:hAnsi="Candara"/>
          <w:sz w:val="24"/>
          <w:szCs w:val="24"/>
          <w:lang w:val="es-MX"/>
        </w:rPr>
        <w:t>20</w:t>
      </w:r>
      <w:r w:rsidR="0006124F" w:rsidRPr="003E7EAD">
        <w:rPr>
          <w:rFonts w:ascii="Candara" w:hAnsi="Candara"/>
          <w:sz w:val="24"/>
          <w:szCs w:val="24"/>
          <w:lang w:val="es-MX"/>
        </w:rPr>
        <w:t xml:space="preserve"> </w:t>
      </w:r>
      <w:r w:rsidRPr="003E7EAD">
        <w:rPr>
          <w:rFonts w:ascii="Candara" w:hAnsi="Candara"/>
          <w:sz w:val="24"/>
          <w:szCs w:val="24"/>
          <w:lang w:val="es-MX"/>
        </w:rPr>
        <w:t>ascendió a $</w:t>
      </w:r>
      <w:r w:rsidR="00EE128F">
        <w:rPr>
          <w:rFonts w:ascii="Candara" w:hAnsi="Candara"/>
          <w:sz w:val="24"/>
          <w:szCs w:val="24"/>
          <w:lang w:val="es-MX"/>
        </w:rPr>
        <w:t>16,096.0</w:t>
      </w:r>
      <w:r w:rsidRPr="003E7EAD">
        <w:rPr>
          <w:rFonts w:ascii="Candara" w:hAnsi="Candara"/>
          <w:sz w:val="24"/>
          <w:szCs w:val="24"/>
          <w:lang w:val="es-MX"/>
        </w:rPr>
        <w:t xml:space="preserve"> millones, equivalentes a </w:t>
      </w:r>
      <w:r w:rsidR="00634117" w:rsidRPr="003E7EAD">
        <w:rPr>
          <w:rFonts w:ascii="Candara" w:hAnsi="Candara"/>
          <w:sz w:val="24"/>
          <w:szCs w:val="24"/>
          <w:lang w:val="es-MX"/>
        </w:rPr>
        <w:t>6</w:t>
      </w:r>
      <w:r w:rsidR="00EE128F">
        <w:rPr>
          <w:rFonts w:ascii="Candara" w:hAnsi="Candara"/>
          <w:sz w:val="24"/>
          <w:szCs w:val="24"/>
          <w:lang w:val="es-MX"/>
        </w:rPr>
        <w:t>3.8%</w:t>
      </w:r>
      <w:r w:rsidRPr="003E7EAD">
        <w:rPr>
          <w:rFonts w:ascii="Candara" w:hAnsi="Candara"/>
          <w:sz w:val="24"/>
          <w:szCs w:val="24"/>
          <w:lang w:val="es-MX"/>
        </w:rPr>
        <w:t xml:space="preserve"> del PIB. Dicho saldo está compuesto por $</w:t>
      </w:r>
      <w:r w:rsidR="00634117" w:rsidRPr="003E7EAD">
        <w:rPr>
          <w:rFonts w:ascii="Candara" w:hAnsi="Candara"/>
          <w:sz w:val="24"/>
          <w:szCs w:val="24"/>
          <w:lang w:val="es-MX"/>
        </w:rPr>
        <w:t>10,</w:t>
      </w:r>
      <w:r w:rsidR="00EE128F">
        <w:rPr>
          <w:rFonts w:ascii="Candara" w:hAnsi="Candara"/>
          <w:sz w:val="24"/>
          <w:szCs w:val="24"/>
          <w:lang w:val="es-MX"/>
        </w:rPr>
        <w:t>739.6</w:t>
      </w:r>
      <w:r w:rsidR="00600F2E" w:rsidRPr="003E7EAD">
        <w:rPr>
          <w:rFonts w:ascii="Candara" w:hAnsi="Candara"/>
          <w:sz w:val="24"/>
          <w:szCs w:val="24"/>
          <w:lang w:val="es-MX"/>
        </w:rPr>
        <w:t xml:space="preserve"> </w:t>
      </w:r>
      <w:r w:rsidRPr="003E7EAD">
        <w:rPr>
          <w:rFonts w:ascii="Candara" w:hAnsi="Candara"/>
          <w:sz w:val="24"/>
          <w:szCs w:val="24"/>
          <w:lang w:val="es-MX"/>
        </w:rPr>
        <w:t>millones que corresponden a deuda externa, equivale</w:t>
      </w:r>
      <w:r w:rsidR="002A147C" w:rsidRPr="003E7EAD">
        <w:rPr>
          <w:rFonts w:ascii="Candara" w:hAnsi="Candara"/>
          <w:sz w:val="24"/>
          <w:szCs w:val="24"/>
          <w:lang w:val="es-MX"/>
        </w:rPr>
        <w:t>nte</w:t>
      </w:r>
      <w:r w:rsidRPr="003E7EAD">
        <w:rPr>
          <w:rFonts w:ascii="Candara" w:hAnsi="Candara"/>
          <w:sz w:val="24"/>
          <w:szCs w:val="24"/>
          <w:lang w:val="es-MX"/>
        </w:rPr>
        <w:t xml:space="preserve"> a </w:t>
      </w:r>
      <w:r w:rsidR="00634117" w:rsidRPr="003E7EAD">
        <w:rPr>
          <w:rFonts w:ascii="Candara" w:hAnsi="Candara"/>
          <w:sz w:val="24"/>
          <w:szCs w:val="24"/>
          <w:lang w:val="es-MX"/>
        </w:rPr>
        <w:t>42.</w:t>
      </w:r>
      <w:r w:rsidR="00EE128F">
        <w:rPr>
          <w:rFonts w:ascii="Candara" w:hAnsi="Candara"/>
          <w:sz w:val="24"/>
          <w:szCs w:val="24"/>
          <w:lang w:val="es-MX"/>
        </w:rPr>
        <w:t>5</w:t>
      </w:r>
      <w:r w:rsidRPr="003E7EAD">
        <w:rPr>
          <w:rFonts w:ascii="Candara" w:hAnsi="Candara"/>
          <w:sz w:val="24"/>
          <w:szCs w:val="24"/>
          <w:lang w:val="es-MX"/>
        </w:rPr>
        <w:t>% del PIB y $</w:t>
      </w:r>
      <w:r w:rsidR="00634117" w:rsidRPr="003E7EAD">
        <w:rPr>
          <w:rFonts w:ascii="Candara" w:hAnsi="Candara"/>
          <w:sz w:val="24"/>
          <w:szCs w:val="24"/>
          <w:lang w:val="es-MX"/>
        </w:rPr>
        <w:t>5,</w:t>
      </w:r>
      <w:r w:rsidR="00EE128F">
        <w:rPr>
          <w:rFonts w:ascii="Candara" w:hAnsi="Candara"/>
          <w:sz w:val="24"/>
          <w:szCs w:val="24"/>
          <w:lang w:val="es-MX"/>
        </w:rPr>
        <w:t>356.4</w:t>
      </w:r>
      <w:r w:rsidRPr="003E7EAD">
        <w:rPr>
          <w:rFonts w:ascii="Candara" w:hAnsi="Candara"/>
          <w:sz w:val="24"/>
          <w:szCs w:val="24"/>
          <w:lang w:val="es-MX"/>
        </w:rPr>
        <w:t xml:space="preserve"> millones correspondientes</w:t>
      </w:r>
      <w:r w:rsidRPr="007F50E2">
        <w:rPr>
          <w:rFonts w:ascii="Candara" w:hAnsi="Candara"/>
          <w:sz w:val="24"/>
          <w:szCs w:val="24"/>
          <w:lang w:val="es-MX"/>
        </w:rPr>
        <w:t xml:space="preserve"> a deuda interna, representando el </w:t>
      </w:r>
      <w:r w:rsidR="00634117">
        <w:rPr>
          <w:rFonts w:ascii="Candara" w:hAnsi="Candara"/>
          <w:sz w:val="24"/>
          <w:szCs w:val="24"/>
          <w:lang w:val="es-MX"/>
        </w:rPr>
        <w:t>21.</w:t>
      </w:r>
      <w:r w:rsidR="00EE128F">
        <w:rPr>
          <w:rFonts w:ascii="Candara" w:hAnsi="Candara"/>
          <w:sz w:val="24"/>
          <w:szCs w:val="24"/>
          <w:lang w:val="es-MX"/>
        </w:rPr>
        <w:t>2</w:t>
      </w:r>
      <w:r w:rsidRPr="007F50E2">
        <w:rPr>
          <w:rFonts w:ascii="Candara" w:hAnsi="Candara"/>
          <w:sz w:val="24"/>
          <w:szCs w:val="24"/>
          <w:lang w:val="es-MX"/>
        </w:rPr>
        <w:t xml:space="preserve">% del PIB, dentro del cual </w:t>
      </w:r>
      <w:r w:rsidR="00855AEE">
        <w:rPr>
          <w:rFonts w:ascii="Candara" w:hAnsi="Candara"/>
          <w:sz w:val="24"/>
          <w:szCs w:val="24"/>
          <w:lang w:val="es-MX"/>
        </w:rPr>
        <w:t>se d</w:t>
      </w:r>
      <w:r w:rsidR="004B1AD2">
        <w:rPr>
          <w:rFonts w:ascii="Candara" w:hAnsi="Candara"/>
          <w:sz w:val="24"/>
          <w:szCs w:val="24"/>
          <w:lang w:val="es-MX"/>
        </w:rPr>
        <w:t>e</w:t>
      </w:r>
      <w:r w:rsidR="00855AEE">
        <w:rPr>
          <w:rFonts w:ascii="Candara" w:hAnsi="Candara"/>
          <w:sz w:val="24"/>
          <w:szCs w:val="24"/>
          <w:lang w:val="es-MX"/>
        </w:rPr>
        <w:t xml:space="preserve">staca </w:t>
      </w:r>
      <w:r w:rsidRPr="007F50E2">
        <w:rPr>
          <w:rFonts w:ascii="Candara" w:hAnsi="Candara"/>
          <w:sz w:val="24"/>
          <w:szCs w:val="24"/>
          <w:lang w:val="es-MX"/>
        </w:rPr>
        <w:t>$</w:t>
      </w:r>
      <w:r w:rsidR="00BC0CDC">
        <w:rPr>
          <w:rFonts w:ascii="Candara" w:hAnsi="Candara"/>
          <w:sz w:val="24"/>
          <w:szCs w:val="24"/>
          <w:lang w:val="es-MX"/>
        </w:rPr>
        <w:t>1,3</w:t>
      </w:r>
      <w:r w:rsidR="00EE128F">
        <w:rPr>
          <w:rFonts w:ascii="Candara" w:hAnsi="Candara"/>
          <w:sz w:val="24"/>
          <w:szCs w:val="24"/>
          <w:lang w:val="es-MX"/>
        </w:rPr>
        <w:t>15.1</w:t>
      </w:r>
      <w:r w:rsidRPr="007F50E2">
        <w:rPr>
          <w:rFonts w:ascii="Candara" w:hAnsi="Candara"/>
          <w:sz w:val="24"/>
          <w:szCs w:val="24"/>
          <w:lang w:val="es-MX"/>
        </w:rPr>
        <w:t xml:space="preserve"> millones </w:t>
      </w:r>
      <w:r w:rsidR="00855AEE">
        <w:rPr>
          <w:rFonts w:ascii="Candara" w:hAnsi="Candara"/>
          <w:sz w:val="24"/>
          <w:szCs w:val="24"/>
          <w:lang w:val="es-MX"/>
        </w:rPr>
        <w:t xml:space="preserve">que </w:t>
      </w:r>
      <w:r w:rsidRPr="007F50E2">
        <w:rPr>
          <w:rFonts w:ascii="Candara" w:hAnsi="Candara"/>
          <w:sz w:val="24"/>
          <w:szCs w:val="24"/>
          <w:lang w:val="es-MX"/>
        </w:rPr>
        <w:t>corresponden a LETES</w:t>
      </w:r>
      <w:r w:rsidR="007C366D">
        <w:rPr>
          <w:rFonts w:ascii="Candara" w:hAnsi="Candara"/>
          <w:sz w:val="24"/>
          <w:szCs w:val="24"/>
          <w:lang w:val="es-MX"/>
        </w:rPr>
        <w:t xml:space="preserve">, que representa </w:t>
      </w:r>
      <w:r w:rsidR="00BC0CDC">
        <w:rPr>
          <w:rFonts w:ascii="Candara" w:hAnsi="Candara"/>
          <w:sz w:val="24"/>
          <w:szCs w:val="24"/>
          <w:lang w:val="es-MX"/>
        </w:rPr>
        <w:t>5</w:t>
      </w:r>
      <w:r w:rsidR="00BF1AE8">
        <w:rPr>
          <w:rFonts w:ascii="Candara" w:hAnsi="Candara"/>
          <w:sz w:val="24"/>
          <w:szCs w:val="24"/>
          <w:lang w:val="es-MX"/>
        </w:rPr>
        <w:t>.</w:t>
      </w:r>
      <w:r w:rsidR="00EE128F">
        <w:rPr>
          <w:rFonts w:ascii="Candara" w:hAnsi="Candara"/>
          <w:sz w:val="24"/>
          <w:szCs w:val="24"/>
          <w:lang w:val="es-MX"/>
        </w:rPr>
        <w:t>2</w:t>
      </w:r>
      <w:r w:rsidR="007C366D">
        <w:rPr>
          <w:rFonts w:ascii="Candara" w:hAnsi="Candara"/>
          <w:sz w:val="24"/>
          <w:szCs w:val="24"/>
          <w:lang w:val="es-MX"/>
        </w:rPr>
        <w:t>% del PIB</w:t>
      </w:r>
      <w:r w:rsidR="00203AF4">
        <w:rPr>
          <w:rFonts w:ascii="Candara" w:hAnsi="Candara"/>
          <w:sz w:val="24"/>
          <w:szCs w:val="24"/>
          <w:lang w:val="es-MX"/>
        </w:rPr>
        <w:t xml:space="preserve"> y $645.8 millones a CETES</w:t>
      </w:r>
      <w:r w:rsidR="00A41536">
        <w:rPr>
          <w:rFonts w:ascii="Candara" w:hAnsi="Candara"/>
          <w:sz w:val="24"/>
          <w:szCs w:val="24"/>
          <w:lang w:val="es-MX"/>
        </w:rPr>
        <w:t>, entre otros</w:t>
      </w:r>
      <w:r w:rsidRPr="007F50E2">
        <w:rPr>
          <w:rFonts w:ascii="Candara" w:hAnsi="Candara"/>
          <w:sz w:val="24"/>
          <w:szCs w:val="24"/>
          <w:lang w:val="es-MX"/>
        </w:rPr>
        <w:t>.</w:t>
      </w:r>
    </w:p>
    <w:p w:rsidR="00092055" w:rsidRPr="00C75E6A" w:rsidRDefault="00092055" w:rsidP="004A685A">
      <w:pPr>
        <w:jc w:val="both"/>
        <w:rPr>
          <w:rFonts w:ascii="Candara" w:hAnsi="Candara"/>
          <w:sz w:val="12"/>
          <w:szCs w:val="12"/>
          <w:lang w:val="es-MX"/>
        </w:rPr>
      </w:pPr>
    </w:p>
    <w:p w:rsidR="00B13B06" w:rsidRPr="007F50E2" w:rsidRDefault="006D364F" w:rsidP="004A685A">
      <w:pPr>
        <w:jc w:val="both"/>
        <w:rPr>
          <w:rFonts w:ascii="Candara" w:hAnsi="Candara"/>
          <w:sz w:val="24"/>
          <w:szCs w:val="24"/>
          <w:lang w:val="es-MX"/>
        </w:rPr>
      </w:pPr>
      <w:r w:rsidRPr="007F50E2">
        <w:rPr>
          <w:rFonts w:ascii="Candara" w:hAnsi="Candara"/>
          <w:sz w:val="24"/>
          <w:szCs w:val="24"/>
          <w:lang w:val="es-MX"/>
        </w:rPr>
        <w:t xml:space="preserve"> Al incluir las emisiones del FOP (CIP serie A), por $</w:t>
      </w:r>
      <w:r w:rsidR="00BF1AE8">
        <w:rPr>
          <w:rFonts w:ascii="Candara" w:hAnsi="Candara"/>
          <w:sz w:val="24"/>
          <w:szCs w:val="24"/>
          <w:lang w:val="es-MX"/>
        </w:rPr>
        <w:t>5</w:t>
      </w:r>
      <w:r w:rsidR="00600F2E">
        <w:rPr>
          <w:rFonts w:ascii="Candara" w:hAnsi="Candara"/>
          <w:sz w:val="24"/>
          <w:szCs w:val="24"/>
          <w:lang w:val="es-MX"/>
        </w:rPr>
        <w:t>,</w:t>
      </w:r>
      <w:r w:rsidR="00EE128F">
        <w:rPr>
          <w:rFonts w:ascii="Candara" w:hAnsi="Candara"/>
          <w:sz w:val="24"/>
          <w:szCs w:val="24"/>
          <w:lang w:val="es-MX"/>
        </w:rPr>
        <w:t>555.9</w:t>
      </w:r>
      <w:r w:rsidRPr="007F50E2">
        <w:rPr>
          <w:rFonts w:ascii="Candara" w:hAnsi="Candara"/>
          <w:sz w:val="24"/>
          <w:szCs w:val="24"/>
          <w:lang w:val="es-MX"/>
        </w:rPr>
        <w:t xml:space="preserve"> millones, </w:t>
      </w:r>
      <w:r w:rsidR="00092055" w:rsidRPr="007F50E2">
        <w:rPr>
          <w:rFonts w:ascii="Candara" w:hAnsi="Candara"/>
          <w:sz w:val="24"/>
          <w:szCs w:val="24"/>
          <w:lang w:val="es-MX"/>
        </w:rPr>
        <w:t xml:space="preserve">el cual representa un </w:t>
      </w:r>
      <w:r w:rsidR="00BC0CDC">
        <w:rPr>
          <w:rFonts w:ascii="Candara" w:hAnsi="Candara"/>
          <w:sz w:val="24"/>
          <w:szCs w:val="24"/>
          <w:lang w:val="es-MX"/>
        </w:rPr>
        <w:t>2</w:t>
      </w:r>
      <w:r w:rsidR="00EE128F">
        <w:rPr>
          <w:rFonts w:ascii="Candara" w:hAnsi="Candara"/>
          <w:sz w:val="24"/>
          <w:szCs w:val="24"/>
          <w:lang w:val="es-MX"/>
        </w:rPr>
        <w:t>2.0</w:t>
      </w:r>
      <w:r w:rsidR="00092055" w:rsidRPr="007F50E2">
        <w:rPr>
          <w:rFonts w:ascii="Candara" w:hAnsi="Candara"/>
          <w:sz w:val="24"/>
          <w:szCs w:val="24"/>
          <w:lang w:val="es-MX"/>
        </w:rPr>
        <w:t xml:space="preserve">% del PIB, </w:t>
      </w:r>
      <w:r w:rsidRPr="007F50E2">
        <w:rPr>
          <w:rFonts w:ascii="Candara" w:hAnsi="Candara"/>
          <w:sz w:val="24"/>
          <w:szCs w:val="24"/>
          <w:lang w:val="es-MX"/>
        </w:rPr>
        <w:t>la deuda ascendió a $</w:t>
      </w:r>
      <w:r w:rsidR="00BF1AE8">
        <w:rPr>
          <w:rFonts w:ascii="Candara" w:hAnsi="Candara"/>
          <w:sz w:val="24"/>
          <w:szCs w:val="24"/>
          <w:lang w:val="es-MX"/>
        </w:rPr>
        <w:t>2</w:t>
      </w:r>
      <w:r w:rsidR="00634117">
        <w:rPr>
          <w:rFonts w:ascii="Candara" w:hAnsi="Candara"/>
          <w:sz w:val="24"/>
          <w:szCs w:val="24"/>
          <w:lang w:val="es-MX"/>
        </w:rPr>
        <w:t>1,6</w:t>
      </w:r>
      <w:r w:rsidR="00EE128F">
        <w:rPr>
          <w:rFonts w:ascii="Candara" w:hAnsi="Candara"/>
          <w:sz w:val="24"/>
          <w:szCs w:val="24"/>
          <w:lang w:val="es-MX"/>
        </w:rPr>
        <w:t>51.9</w:t>
      </w:r>
      <w:r w:rsidRPr="007F50E2">
        <w:rPr>
          <w:rFonts w:ascii="Candara" w:hAnsi="Candara"/>
          <w:sz w:val="24"/>
          <w:szCs w:val="24"/>
          <w:lang w:val="es-MX"/>
        </w:rPr>
        <w:t xml:space="preserve"> millones, con un aumento de $</w:t>
      </w:r>
      <w:r w:rsidR="00634117">
        <w:rPr>
          <w:rFonts w:ascii="Candara" w:hAnsi="Candara"/>
          <w:sz w:val="24"/>
          <w:szCs w:val="24"/>
          <w:lang w:val="es-MX"/>
        </w:rPr>
        <w:t>2,</w:t>
      </w:r>
      <w:r w:rsidR="00EE128F">
        <w:rPr>
          <w:rFonts w:ascii="Candara" w:hAnsi="Candara"/>
          <w:sz w:val="24"/>
          <w:szCs w:val="24"/>
          <w:lang w:val="es-MX"/>
        </w:rPr>
        <w:t>773.3</w:t>
      </w:r>
      <w:r w:rsidRPr="007F50E2">
        <w:rPr>
          <w:rFonts w:ascii="Candara" w:hAnsi="Candara"/>
          <w:sz w:val="24"/>
          <w:szCs w:val="24"/>
          <w:lang w:val="es-MX"/>
        </w:rPr>
        <w:t xml:space="preserve"> millones (</w:t>
      </w:r>
      <w:r w:rsidR="00BF1AE8">
        <w:rPr>
          <w:rFonts w:ascii="Candara" w:hAnsi="Candara"/>
          <w:sz w:val="24"/>
          <w:szCs w:val="24"/>
          <w:lang w:val="es-MX"/>
        </w:rPr>
        <w:t>1</w:t>
      </w:r>
      <w:r w:rsidR="00EE128F">
        <w:rPr>
          <w:rFonts w:ascii="Candara" w:hAnsi="Candara"/>
          <w:sz w:val="24"/>
          <w:szCs w:val="24"/>
          <w:lang w:val="es-MX"/>
        </w:rPr>
        <w:t>4.7</w:t>
      </w:r>
      <w:r w:rsidRPr="007F50E2">
        <w:rPr>
          <w:rFonts w:ascii="Candara" w:hAnsi="Candara"/>
          <w:sz w:val="24"/>
          <w:szCs w:val="24"/>
          <w:lang w:val="es-MX"/>
        </w:rPr>
        <w:t xml:space="preserve">%) respecto al saldo registrado en </w:t>
      </w:r>
      <w:r w:rsidR="006854AC">
        <w:rPr>
          <w:rFonts w:ascii="Candara" w:hAnsi="Candara"/>
          <w:sz w:val="24"/>
          <w:szCs w:val="24"/>
          <w:lang w:val="es-MX"/>
        </w:rPr>
        <w:t>diciembre</w:t>
      </w:r>
      <w:r w:rsidRPr="007F50E2">
        <w:rPr>
          <w:rFonts w:ascii="Candara" w:hAnsi="Candara"/>
          <w:sz w:val="24"/>
          <w:szCs w:val="24"/>
          <w:lang w:val="es-MX"/>
        </w:rPr>
        <w:t xml:space="preserve"> </w:t>
      </w:r>
      <w:r w:rsidR="00042C94">
        <w:rPr>
          <w:rFonts w:ascii="Candara" w:hAnsi="Candara"/>
          <w:sz w:val="24"/>
          <w:szCs w:val="24"/>
          <w:lang w:val="es-MX"/>
        </w:rPr>
        <w:t>2019</w:t>
      </w:r>
      <w:r w:rsidR="00BE517D">
        <w:rPr>
          <w:rFonts w:ascii="Candara" w:hAnsi="Candara"/>
          <w:sz w:val="24"/>
          <w:szCs w:val="24"/>
          <w:lang w:val="es-MX"/>
        </w:rPr>
        <w:t>, asociado al impacto de la Pandemia COVID-19</w:t>
      </w:r>
      <w:r w:rsidRPr="007F50E2">
        <w:rPr>
          <w:rFonts w:ascii="Candara" w:hAnsi="Candara"/>
          <w:sz w:val="24"/>
          <w:szCs w:val="24"/>
          <w:lang w:val="es-MX"/>
        </w:rPr>
        <w:t xml:space="preserve">. En términos del PIB, la deuda llegó al </w:t>
      </w:r>
      <w:r w:rsidR="00BF1AE8">
        <w:rPr>
          <w:rFonts w:ascii="Candara" w:hAnsi="Candara"/>
          <w:sz w:val="24"/>
          <w:szCs w:val="24"/>
          <w:lang w:val="es-MX"/>
        </w:rPr>
        <w:t>8</w:t>
      </w:r>
      <w:r w:rsidR="00634117">
        <w:rPr>
          <w:rFonts w:ascii="Candara" w:hAnsi="Candara"/>
          <w:sz w:val="24"/>
          <w:szCs w:val="24"/>
          <w:lang w:val="es-MX"/>
        </w:rPr>
        <w:t>5.</w:t>
      </w:r>
      <w:r w:rsidR="00EE128F">
        <w:rPr>
          <w:rFonts w:ascii="Candara" w:hAnsi="Candara"/>
          <w:sz w:val="24"/>
          <w:szCs w:val="24"/>
          <w:lang w:val="es-MX"/>
        </w:rPr>
        <w:t>8</w:t>
      </w:r>
      <w:r w:rsidR="00781123" w:rsidRPr="007F50E2">
        <w:rPr>
          <w:rFonts w:ascii="Candara" w:hAnsi="Candara"/>
          <w:sz w:val="24"/>
          <w:szCs w:val="24"/>
          <w:lang w:val="es-MX"/>
        </w:rPr>
        <w:t>%,</w:t>
      </w:r>
      <w:r w:rsidRPr="007F50E2">
        <w:rPr>
          <w:rFonts w:ascii="Candara" w:hAnsi="Candara"/>
          <w:sz w:val="24"/>
          <w:szCs w:val="24"/>
          <w:lang w:val="es-MX"/>
        </w:rPr>
        <w:t xml:space="preserve"> saldo </w:t>
      </w:r>
      <w:r w:rsidR="001C7F84" w:rsidRPr="007F50E2">
        <w:rPr>
          <w:rFonts w:ascii="Candara" w:hAnsi="Candara"/>
          <w:sz w:val="24"/>
          <w:szCs w:val="24"/>
          <w:lang w:val="es-MX"/>
        </w:rPr>
        <w:t>s</w:t>
      </w:r>
      <w:r w:rsidR="00F667C7" w:rsidRPr="007F50E2">
        <w:rPr>
          <w:rFonts w:ascii="Candara" w:hAnsi="Candara"/>
          <w:sz w:val="24"/>
          <w:szCs w:val="24"/>
          <w:lang w:val="es-MX"/>
        </w:rPr>
        <w:t xml:space="preserve">uperior en </w:t>
      </w:r>
      <w:r w:rsidR="00BF1AE8">
        <w:rPr>
          <w:rFonts w:ascii="Candara" w:hAnsi="Candara"/>
          <w:sz w:val="24"/>
          <w:szCs w:val="24"/>
          <w:lang w:val="es-MX"/>
        </w:rPr>
        <w:t>1</w:t>
      </w:r>
      <w:r w:rsidR="00EE128F">
        <w:rPr>
          <w:rFonts w:ascii="Candara" w:hAnsi="Candara"/>
          <w:sz w:val="24"/>
          <w:szCs w:val="24"/>
          <w:lang w:val="es-MX"/>
        </w:rPr>
        <w:t>5.9</w:t>
      </w:r>
      <w:r w:rsidR="00BC0CDC">
        <w:rPr>
          <w:rFonts w:ascii="Candara" w:hAnsi="Candara"/>
          <w:sz w:val="24"/>
          <w:szCs w:val="24"/>
          <w:lang w:val="es-MX"/>
        </w:rPr>
        <w:t xml:space="preserve"> </w:t>
      </w:r>
      <w:r w:rsidR="00F667C7" w:rsidRPr="007F50E2">
        <w:rPr>
          <w:rFonts w:ascii="Candara" w:hAnsi="Candara"/>
          <w:sz w:val="24"/>
          <w:szCs w:val="24"/>
          <w:lang w:val="es-MX"/>
        </w:rPr>
        <w:t>punto</w:t>
      </w:r>
      <w:r w:rsidR="00BC0CDC">
        <w:rPr>
          <w:rFonts w:ascii="Candara" w:hAnsi="Candara"/>
          <w:sz w:val="24"/>
          <w:szCs w:val="24"/>
          <w:lang w:val="es-MX"/>
        </w:rPr>
        <w:t>s</w:t>
      </w:r>
      <w:r w:rsidR="00F667C7" w:rsidRPr="007F50E2">
        <w:rPr>
          <w:rFonts w:ascii="Candara" w:hAnsi="Candara"/>
          <w:sz w:val="24"/>
          <w:szCs w:val="24"/>
          <w:lang w:val="es-MX"/>
        </w:rPr>
        <w:t xml:space="preserve"> porcentual</w:t>
      </w:r>
      <w:r w:rsidR="00BF1AE8">
        <w:rPr>
          <w:rFonts w:ascii="Candara" w:hAnsi="Candara"/>
          <w:sz w:val="24"/>
          <w:szCs w:val="24"/>
          <w:lang w:val="es-MX"/>
        </w:rPr>
        <w:t>es</w:t>
      </w:r>
      <w:r w:rsidR="00F667C7" w:rsidRPr="007F50E2">
        <w:rPr>
          <w:rFonts w:ascii="Candara" w:hAnsi="Candara"/>
          <w:sz w:val="24"/>
          <w:szCs w:val="24"/>
          <w:lang w:val="es-MX"/>
        </w:rPr>
        <w:t xml:space="preserve"> </w:t>
      </w:r>
      <w:r w:rsidR="002A0964" w:rsidRPr="007F50E2">
        <w:rPr>
          <w:rFonts w:ascii="Candara" w:hAnsi="Candara"/>
          <w:sz w:val="24"/>
          <w:szCs w:val="24"/>
          <w:lang w:val="es-MX"/>
        </w:rPr>
        <w:t>con</w:t>
      </w:r>
      <w:r w:rsidRPr="007F50E2">
        <w:rPr>
          <w:rFonts w:ascii="Candara" w:hAnsi="Candara"/>
          <w:sz w:val="24"/>
          <w:szCs w:val="24"/>
          <w:lang w:val="es-MX"/>
        </w:rPr>
        <w:t xml:space="preserve"> respecto al nivel registrado </w:t>
      </w:r>
      <w:r w:rsidR="005A54D2" w:rsidRPr="007F50E2">
        <w:rPr>
          <w:rFonts w:ascii="Candara" w:hAnsi="Candara"/>
          <w:sz w:val="24"/>
          <w:szCs w:val="24"/>
          <w:lang w:val="es-MX"/>
        </w:rPr>
        <w:t xml:space="preserve">al </w:t>
      </w:r>
      <w:r w:rsidR="002A0964" w:rsidRPr="007F50E2">
        <w:rPr>
          <w:rFonts w:ascii="Candara" w:hAnsi="Candara"/>
          <w:sz w:val="24"/>
          <w:szCs w:val="24"/>
          <w:lang w:val="es-MX"/>
        </w:rPr>
        <w:t xml:space="preserve">mismo período </w:t>
      </w:r>
      <w:r w:rsidR="005A54D2" w:rsidRPr="007F50E2">
        <w:rPr>
          <w:rFonts w:ascii="Candara" w:hAnsi="Candara"/>
          <w:sz w:val="24"/>
          <w:szCs w:val="24"/>
          <w:lang w:val="es-MX"/>
        </w:rPr>
        <w:t>de</w:t>
      </w:r>
      <w:r w:rsidRPr="007F50E2">
        <w:rPr>
          <w:rFonts w:ascii="Candara" w:hAnsi="Candara"/>
          <w:sz w:val="24"/>
          <w:szCs w:val="24"/>
          <w:lang w:val="es-MX"/>
        </w:rPr>
        <w:t xml:space="preserve"> </w:t>
      </w:r>
      <w:r w:rsidR="00042C94">
        <w:rPr>
          <w:rFonts w:ascii="Candara" w:hAnsi="Candara"/>
          <w:sz w:val="24"/>
          <w:szCs w:val="24"/>
          <w:lang w:val="es-MX"/>
        </w:rPr>
        <w:t>2019</w:t>
      </w:r>
      <w:r w:rsidR="00067A82" w:rsidRPr="007F50E2">
        <w:rPr>
          <w:rFonts w:ascii="Candara" w:hAnsi="Candara"/>
          <w:sz w:val="24"/>
          <w:szCs w:val="24"/>
          <w:lang w:val="es-MX"/>
        </w:rPr>
        <w:t>.</w:t>
      </w:r>
      <w:r w:rsidR="00170BAE" w:rsidRPr="007F50E2">
        <w:rPr>
          <w:rFonts w:ascii="Candara" w:hAnsi="Candara"/>
          <w:sz w:val="24"/>
          <w:szCs w:val="24"/>
          <w:lang w:val="es-MX"/>
        </w:rPr>
        <w:t xml:space="preserve"> </w:t>
      </w:r>
    </w:p>
    <w:p w:rsidR="002A0964" w:rsidRPr="00C75E6A" w:rsidRDefault="002A0964" w:rsidP="004A685A">
      <w:pPr>
        <w:jc w:val="both"/>
        <w:rPr>
          <w:rFonts w:ascii="Candara" w:hAnsi="Candara"/>
          <w:sz w:val="12"/>
          <w:szCs w:val="12"/>
          <w:lang w:val="es-MX"/>
        </w:rPr>
      </w:pPr>
    </w:p>
    <w:p w:rsidR="00BE517D" w:rsidRPr="003E7EAD" w:rsidRDefault="00BE517D" w:rsidP="00BE517D">
      <w:pPr>
        <w:pStyle w:val="Heading3"/>
        <w:rPr>
          <w:rFonts w:ascii="Candara" w:hAnsi="Candara"/>
          <w:b/>
          <w:lang w:val="es-MX"/>
        </w:rPr>
      </w:pPr>
      <w:r w:rsidRPr="000B5129">
        <w:rPr>
          <w:rFonts w:ascii="Candara" w:hAnsi="Candara"/>
          <w:b/>
          <w:lang w:val="es-MX"/>
        </w:rPr>
        <w:t xml:space="preserve">  </w:t>
      </w:r>
      <w:bookmarkStart w:id="54" w:name="_Toc56581214"/>
      <w:bookmarkStart w:id="55" w:name="_Toc64531479"/>
      <w:r w:rsidRPr="003E7EAD">
        <w:rPr>
          <w:rFonts w:ascii="Candara" w:hAnsi="Candara"/>
          <w:b/>
          <w:lang w:val="es-MX"/>
        </w:rPr>
        <w:t>3.1 Deuda Interna</w:t>
      </w:r>
      <w:bookmarkEnd w:id="54"/>
      <w:bookmarkEnd w:id="55"/>
    </w:p>
    <w:p w:rsidR="00BE517D" w:rsidRPr="00C75E6A" w:rsidRDefault="00BE517D" w:rsidP="00BE517D">
      <w:pPr>
        <w:jc w:val="both"/>
        <w:rPr>
          <w:rFonts w:ascii="Candara" w:hAnsi="Candara"/>
          <w:sz w:val="12"/>
          <w:szCs w:val="12"/>
          <w:lang w:val="es-MX"/>
        </w:rPr>
      </w:pPr>
    </w:p>
    <w:p w:rsidR="00BE517D" w:rsidRDefault="00BE517D" w:rsidP="00BE517D">
      <w:pPr>
        <w:jc w:val="both"/>
        <w:rPr>
          <w:rFonts w:ascii="Candara" w:hAnsi="Candara"/>
          <w:sz w:val="24"/>
          <w:szCs w:val="24"/>
          <w:lang w:val="es-MX"/>
        </w:rPr>
      </w:pPr>
      <w:r w:rsidRPr="003E7EAD">
        <w:rPr>
          <w:rFonts w:ascii="Candara" w:hAnsi="Candara"/>
          <w:sz w:val="24"/>
          <w:szCs w:val="24"/>
          <w:lang w:val="es-MX"/>
        </w:rPr>
        <w:t>El Saldo de la deuda interna alcanzó un monto de $5,</w:t>
      </w:r>
      <w:r w:rsidR="00380002">
        <w:rPr>
          <w:rFonts w:ascii="Candara" w:hAnsi="Candara"/>
          <w:sz w:val="24"/>
          <w:szCs w:val="24"/>
          <w:lang w:val="es-MX"/>
        </w:rPr>
        <w:t>356.4</w:t>
      </w:r>
      <w:r w:rsidRPr="003E7EAD">
        <w:rPr>
          <w:rFonts w:ascii="Candara" w:hAnsi="Candara"/>
          <w:sz w:val="24"/>
          <w:szCs w:val="24"/>
          <w:lang w:val="es-MX"/>
        </w:rPr>
        <w:t xml:space="preserve"> millones equivalente a 21.</w:t>
      </w:r>
      <w:r w:rsidR="002B4222">
        <w:rPr>
          <w:rFonts w:ascii="Candara" w:hAnsi="Candara"/>
          <w:sz w:val="24"/>
          <w:szCs w:val="24"/>
          <w:lang w:val="es-MX"/>
        </w:rPr>
        <w:t>2</w:t>
      </w:r>
      <w:r w:rsidRPr="003E7EAD">
        <w:rPr>
          <w:rFonts w:ascii="Candara" w:hAnsi="Candara"/>
          <w:sz w:val="24"/>
          <w:szCs w:val="24"/>
          <w:lang w:val="es-MX"/>
        </w:rPr>
        <w:t>% del PIB. Al incorporar el</w:t>
      </w:r>
      <w:r w:rsidRPr="007F50E2">
        <w:rPr>
          <w:rFonts w:ascii="Candara" w:hAnsi="Candara"/>
          <w:sz w:val="24"/>
          <w:szCs w:val="24"/>
          <w:lang w:val="es-MX"/>
        </w:rPr>
        <w:t xml:space="preserve"> saldo del Fideicomisos de Obligaciones Previsionales, (FOP) el saldo asciende a $</w:t>
      </w:r>
      <w:r>
        <w:rPr>
          <w:rFonts w:ascii="Candara" w:hAnsi="Candara"/>
          <w:sz w:val="24"/>
          <w:szCs w:val="24"/>
          <w:lang w:val="es-MX"/>
        </w:rPr>
        <w:t>10,</w:t>
      </w:r>
      <w:r w:rsidR="002B4222">
        <w:rPr>
          <w:rFonts w:ascii="Candara" w:hAnsi="Candara"/>
          <w:sz w:val="24"/>
          <w:szCs w:val="24"/>
          <w:lang w:val="es-MX"/>
        </w:rPr>
        <w:t>912.3</w:t>
      </w:r>
      <w:r w:rsidRPr="007F50E2">
        <w:rPr>
          <w:rFonts w:ascii="Candara" w:hAnsi="Candara"/>
          <w:sz w:val="24"/>
          <w:szCs w:val="24"/>
          <w:lang w:val="es-MX"/>
        </w:rPr>
        <w:t xml:space="preserve"> millones (</w:t>
      </w:r>
      <w:r>
        <w:rPr>
          <w:rFonts w:ascii="Candara" w:hAnsi="Candara"/>
          <w:sz w:val="24"/>
          <w:szCs w:val="24"/>
          <w:lang w:val="es-MX"/>
        </w:rPr>
        <w:t>4</w:t>
      </w:r>
      <w:r w:rsidR="002B4222">
        <w:rPr>
          <w:rFonts w:ascii="Candara" w:hAnsi="Candara"/>
          <w:sz w:val="24"/>
          <w:szCs w:val="24"/>
          <w:lang w:val="es-MX"/>
        </w:rPr>
        <w:t>3.2</w:t>
      </w:r>
      <w:r w:rsidRPr="007F50E2">
        <w:rPr>
          <w:rFonts w:ascii="Candara" w:hAnsi="Candara"/>
          <w:sz w:val="24"/>
          <w:szCs w:val="24"/>
          <w:lang w:val="es-MX"/>
        </w:rPr>
        <w:t>% del PIB), superior en $</w:t>
      </w:r>
      <w:r w:rsidR="002B4222">
        <w:rPr>
          <w:rFonts w:ascii="Candara" w:hAnsi="Candara"/>
          <w:sz w:val="24"/>
          <w:szCs w:val="24"/>
          <w:lang w:val="es-MX"/>
        </w:rPr>
        <w:t>1,663.4</w:t>
      </w:r>
      <w:r w:rsidRPr="007F50E2">
        <w:rPr>
          <w:rFonts w:ascii="Candara" w:hAnsi="Candara"/>
          <w:sz w:val="24"/>
          <w:szCs w:val="24"/>
          <w:lang w:val="es-MX"/>
        </w:rPr>
        <w:t xml:space="preserve"> millones con respecto al nivel registrado en </w:t>
      </w:r>
      <w:r>
        <w:rPr>
          <w:rFonts w:ascii="Candara" w:hAnsi="Candara"/>
          <w:sz w:val="24"/>
          <w:szCs w:val="24"/>
          <w:lang w:val="es-MX"/>
        </w:rPr>
        <w:t>2019</w:t>
      </w:r>
      <w:r w:rsidRPr="007F50E2">
        <w:rPr>
          <w:rFonts w:ascii="Candara" w:hAnsi="Candara"/>
          <w:sz w:val="24"/>
          <w:szCs w:val="24"/>
          <w:lang w:val="es-MX"/>
        </w:rPr>
        <w:t>, debido principalmente al incremento del saldo del Fideicomiso de Obligaciones Previsionales, (FOP) de $</w:t>
      </w:r>
      <w:r w:rsidR="002B4222">
        <w:rPr>
          <w:rFonts w:ascii="Candara" w:hAnsi="Candara"/>
          <w:sz w:val="24"/>
          <w:szCs w:val="24"/>
          <w:lang w:val="es-MX"/>
        </w:rPr>
        <w:t>291.1</w:t>
      </w:r>
      <w:r w:rsidRPr="007F50E2">
        <w:rPr>
          <w:rFonts w:ascii="Candara" w:hAnsi="Candara"/>
          <w:sz w:val="24"/>
          <w:szCs w:val="24"/>
          <w:lang w:val="es-MX"/>
        </w:rPr>
        <w:t xml:space="preserve"> millones</w:t>
      </w:r>
      <w:r>
        <w:rPr>
          <w:rFonts w:ascii="Candara" w:hAnsi="Candara"/>
          <w:sz w:val="24"/>
          <w:szCs w:val="24"/>
          <w:lang w:val="es-MX"/>
        </w:rPr>
        <w:t>; $</w:t>
      </w:r>
      <w:r w:rsidR="002B4222">
        <w:rPr>
          <w:rFonts w:ascii="Candara" w:hAnsi="Candara"/>
          <w:sz w:val="24"/>
          <w:szCs w:val="24"/>
          <w:lang w:val="es-MX"/>
        </w:rPr>
        <w:t>379.0</w:t>
      </w:r>
      <w:r>
        <w:rPr>
          <w:rFonts w:ascii="Candara" w:hAnsi="Candara"/>
          <w:sz w:val="24"/>
          <w:szCs w:val="24"/>
          <w:lang w:val="es-MX"/>
        </w:rPr>
        <w:t xml:space="preserve"> millones en LETES y $645.8 millones en CETES.</w:t>
      </w:r>
    </w:p>
    <w:p w:rsidR="00BE517D" w:rsidRPr="00C75E6A" w:rsidRDefault="00BE517D" w:rsidP="00BE517D">
      <w:pPr>
        <w:jc w:val="both"/>
        <w:rPr>
          <w:rFonts w:ascii="Candara" w:hAnsi="Candara"/>
          <w:sz w:val="12"/>
          <w:szCs w:val="12"/>
          <w:lang w:val="es-MX"/>
        </w:rPr>
      </w:pPr>
    </w:p>
    <w:p w:rsidR="00BE517D" w:rsidRDefault="00BE517D" w:rsidP="00BE517D">
      <w:pPr>
        <w:jc w:val="both"/>
        <w:rPr>
          <w:rFonts w:ascii="Candara" w:hAnsi="Candara"/>
          <w:sz w:val="24"/>
          <w:szCs w:val="24"/>
          <w:lang w:val="es-MX"/>
        </w:rPr>
      </w:pPr>
      <w:r w:rsidRPr="007F50E2">
        <w:rPr>
          <w:rFonts w:ascii="Candara" w:hAnsi="Candara"/>
          <w:sz w:val="24"/>
          <w:szCs w:val="24"/>
          <w:lang w:val="es-MX"/>
        </w:rPr>
        <w:t>En su composición el saldo de la deuda interna está integrado principalmente por: deuda del BCR por $704.</w:t>
      </w:r>
      <w:r>
        <w:rPr>
          <w:rFonts w:ascii="Candara" w:hAnsi="Candara"/>
          <w:sz w:val="24"/>
          <w:szCs w:val="24"/>
          <w:lang w:val="es-MX"/>
        </w:rPr>
        <w:t>3</w:t>
      </w:r>
      <w:r w:rsidRPr="007F50E2">
        <w:rPr>
          <w:rFonts w:ascii="Candara" w:hAnsi="Candara"/>
          <w:sz w:val="24"/>
          <w:szCs w:val="24"/>
          <w:lang w:val="es-MX"/>
        </w:rPr>
        <w:t xml:space="preserve"> millones; Certificados Previsionales del FOP por $</w:t>
      </w:r>
      <w:r>
        <w:rPr>
          <w:rFonts w:ascii="Candara" w:hAnsi="Candara"/>
          <w:sz w:val="24"/>
          <w:szCs w:val="24"/>
          <w:lang w:val="es-MX"/>
        </w:rPr>
        <w:t>5,</w:t>
      </w:r>
      <w:r w:rsidR="00746E72">
        <w:rPr>
          <w:rFonts w:ascii="Candara" w:hAnsi="Candara"/>
          <w:sz w:val="24"/>
          <w:szCs w:val="24"/>
          <w:lang w:val="es-MX"/>
        </w:rPr>
        <w:t>555.9</w:t>
      </w:r>
      <w:r>
        <w:rPr>
          <w:rFonts w:ascii="Candara" w:hAnsi="Candara"/>
          <w:sz w:val="24"/>
          <w:szCs w:val="24"/>
          <w:lang w:val="es-MX"/>
        </w:rPr>
        <w:t xml:space="preserve"> </w:t>
      </w:r>
      <w:r w:rsidRPr="007F50E2">
        <w:rPr>
          <w:rFonts w:ascii="Candara" w:hAnsi="Candara"/>
          <w:sz w:val="24"/>
          <w:szCs w:val="24"/>
          <w:lang w:val="es-MX"/>
        </w:rPr>
        <w:t xml:space="preserve">millones; bonos emitidos en el mercado nacional </w:t>
      </w:r>
      <w:r w:rsidRPr="00746E72">
        <w:rPr>
          <w:rFonts w:ascii="Candara" w:hAnsi="Candara"/>
          <w:sz w:val="24"/>
          <w:szCs w:val="24"/>
          <w:lang w:val="es-MX"/>
        </w:rPr>
        <w:t>y eurobonos en poder de residentes por $2,65</w:t>
      </w:r>
      <w:r w:rsidR="00746E72" w:rsidRPr="00746E72">
        <w:rPr>
          <w:rFonts w:ascii="Candara" w:hAnsi="Candara"/>
          <w:sz w:val="24"/>
          <w:szCs w:val="24"/>
          <w:lang w:val="es-MX"/>
        </w:rPr>
        <w:t>8</w:t>
      </w:r>
      <w:r w:rsidRPr="00746E72">
        <w:rPr>
          <w:rFonts w:ascii="Candara" w:hAnsi="Candara"/>
          <w:sz w:val="24"/>
          <w:szCs w:val="24"/>
          <w:lang w:val="es-MX"/>
        </w:rPr>
        <w:t>.</w:t>
      </w:r>
      <w:r w:rsidR="004B1AD2">
        <w:rPr>
          <w:rFonts w:ascii="Candara" w:hAnsi="Candara"/>
          <w:sz w:val="24"/>
          <w:szCs w:val="24"/>
          <w:lang w:val="es-MX"/>
        </w:rPr>
        <w:t>6</w:t>
      </w:r>
      <w:r w:rsidRPr="00746E72">
        <w:rPr>
          <w:rFonts w:ascii="Candara" w:hAnsi="Candara"/>
          <w:sz w:val="24"/>
          <w:szCs w:val="24"/>
          <w:lang w:val="es-MX"/>
        </w:rPr>
        <w:t xml:space="preserve"> millones; deuda de corto plazo (LETES) por $1,3</w:t>
      </w:r>
      <w:r w:rsidR="004A7D32" w:rsidRPr="00746E72">
        <w:rPr>
          <w:rFonts w:ascii="Candara" w:hAnsi="Candara"/>
          <w:sz w:val="24"/>
          <w:szCs w:val="24"/>
          <w:lang w:val="es-MX"/>
        </w:rPr>
        <w:t>15.1</w:t>
      </w:r>
      <w:r w:rsidRPr="00746E72">
        <w:rPr>
          <w:rFonts w:ascii="Candara" w:hAnsi="Candara"/>
          <w:sz w:val="24"/>
          <w:szCs w:val="24"/>
          <w:lang w:val="es-MX"/>
        </w:rPr>
        <w:t xml:space="preserve"> millones</w:t>
      </w:r>
      <w:r w:rsidR="00A41536">
        <w:rPr>
          <w:rFonts w:ascii="Candara" w:hAnsi="Candara"/>
          <w:sz w:val="24"/>
          <w:szCs w:val="24"/>
          <w:lang w:val="es-MX"/>
        </w:rPr>
        <w:t>;</w:t>
      </w:r>
      <w:r w:rsidRPr="00746E72">
        <w:rPr>
          <w:rFonts w:ascii="Candara" w:hAnsi="Candara"/>
          <w:sz w:val="24"/>
          <w:szCs w:val="24"/>
          <w:lang w:val="es-MX"/>
        </w:rPr>
        <w:t xml:space="preserve"> CETES por $645.8 millones y otros por $</w:t>
      </w:r>
      <w:r w:rsidR="00746E72" w:rsidRPr="00746E72">
        <w:rPr>
          <w:rFonts w:ascii="Candara" w:hAnsi="Candara"/>
          <w:sz w:val="24"/>
          <w:szCs w:val="24"/>
          <w:lang w:val="es-MX"/>
        </w:rPr>
        <w:t>32.5</w:t>
      </w:r>
      <w:r w:rsidRPr="00746E72">
        <w:rPr>
          <w:rFonts w:ascii="Candara" w:hAnsi="Candara"/>
          <w:sz w:val="24"/>
          <w:szCs w:val="24"/>
          <w:lang w:val="es-MX"/>
        </w:rPr>
        <w:t xml:space="preserve"> millones.</w:t>
      </w:r>
    </w:p>
    <w:p w:rsidR="00A8476C" w:rsidRPr="007F50E2" w:rsidRDefault="00A8476C" w:rsidP="00BE517D">
      <w:pPr>
        <w:jc w:val="both"/>
        <w:rPr>
          <w:rFonts w:ascii="Candara" w:hAnsi="Candara"/>
          <w:sz w:val="24"/>
          <w:szCs w:val="24"/>
          <w:lang w:val="es-MX"/>
        </w:rPr>
      </w:pPr>
    </w:p>
    <w:p w:rsidR="008A6A97" w:rsidRDefault="008A6A97" w:rsidP="00386BC0">
      <w:pPr>
        <w:jc w:val="center"/>
        <w:rPr>
          <w:rFonts w:ascii="Candara" w:hAnsi="Candara"/>
          <w:sz w:val="24"/>
          <w:szCs w:val="24"/>
          <w:lang w:val="es-MX"/>
        </w:rPr>
      </w:pPr>
      <w:r w:rsidRPr="007F50E2">
        <w:rPr>
          <w:rFonts w:ascii="Candara" w:hAnsi="Candara"/>
          <w:sz w:val="24"/>
          <w:szCs w:val="24"/>
          <w:lang w:val="es-MX"/>
        </w:rPr>
        <w:t xml:space="preserve">Gráfico </w:t>
      </w:r>
      <w:r w:rsidR="006B57E8">
        <w:rPr>
          <w:rFonts w:ascii="Candara" w:hAnsi="Candara"/>
          <w:sz w:val="24"/>
          <w:szCs w:val="24"/>
          <w:lang w:val="es-MX"/>
        </w:rPr>
        <w:t>9</w:t>
      </w:r>
      <w:r w:rsidR="00F667C7" w:rsidRPr="007F50E2">
        <w:rPr>
          <w:rFonts w:ascii="Candara" w:hAnsi="Candara"/>
          <w:sz w:val="24"/>
          <w:szCs w:val="24"/>
          <w:lang w:val="es-MX"/>
        </w:rPr>
        <w:t>: Saldo</w:t>
      </w:r>
      <w:r w:rsidRPr="007F50E2">
        <w:rPr>
          <w:rFonts w:ascii="Candara" w:hAnsi="Candara"/>
          <w:sz w:val="24"/>
          <w:szCs w:val="24"/>
          <w:lang w:val="es-MX"/>
        </w:rPr>
        <w:t xml:space="preserve"> de la Deuda con pensiones del SPNF 20</w:t>
      </w:r>
      <w:r w:rsidR="00F86607">
        <w:rPr>
          <w:rFonts w:ascii="Candara" w:hAnsi="Candara"/>
          <w:sz w:val="24"/>
          <w:szCs w:val="24"/>
          <w:lang w:val="es-MX"/>
        </w:rPr>
        <w:t>14</w:t>
      </w:r>
      <w:r w:rsidRPr="007F50E2">
        <w:rPr>
          <w:rFonts w:ascii="Candara" w:hAnsi="Candara"/>
          <w:sz w:val="24"/>
          <w:szCs w:val="24"/>
          <w:lang w:val="es-MX"/>
        </w:rPr>
        <w:t xml:space="preserve"> </w:t>
      </w:r>
      <w:r w:rsidR="00C1115B" w:rsidRPr="007F50E2">
        <w:rPr>
          <w:rFonts w:ascii="Candara" w:hAnsi="Candara"/>
          <w:sz w:val="24"/>
          <w:szCs w:val="24"/>
          <w:lang w:val="es-MX"/>
        </w:rPr>
        <w:t>–</w:t>
      </w:r>
      <w:r w:rsidR="00042C94">
        <w:rPr>
          <w:rFonts w:ascii="Candara" w:hAnsi="Candara"/>
          <w:sz w:val="24"/>
          <w:szCs w:val="24"/>
          <w:lang w:val="es-MX"/>
        </w:rPr>
        <w:t>20</w:t>
      </w:r>
      <w:r w:rsidR="00D15ED9">
        <w:rPr>
          <w:rFonts w:ascii="Candara" w:hAnsi="Candara"/>
          <w:sz w:val="24"/>
          <w:szCs w:val="24"/>
          <w:lang w:val="es-MX"/>
        </w:rPr>
        <w:t>20</w:t>
      </w:r>
    </w:p>
    <w:p w:rsidR="005327AE" w:rsidRPr="007F50E2" w:rsidRDefault="005327AE" w:rsidP="00386BC0">
      <w:pPr>
        <w:jc w:val="center"/>
        <w:rPr>
          <w:rFonts w:ascii="Candara" w:hAnsi="Candara"/>
          <w:sz w:val="24"/>
          <w:szCs w:val="24"/>
          <w:lang w:val="es-MX"/>
        </w:rPr>
      </w:pPr>
    </w:p>
    <w:p w:rsidR="008A6A97" w:rsidRPr="007F50E2" w:rsidRDefault="00BA49CC" w:rsidP="005327AE">
      <w:pPr>
        <w:jc w:val="center"/>
        <w:rPr>
          <w:rFonts w:ascii="Candara" w:hAnsi="Candara"/>
          <w:sz w:val="24"/>
          <w:szCs w:val="24"/>
          <w:lang w:val="es-MX"/>
        </w:rPr>
      </w:pPr>
      <w:r w:rsidRPr="00BA49CC">
        <w:rPr>
          <w:noProof/>
        </w:rPr>
        <w:drawing>
          <wp:inline distT="0" distB="0" distL="0" distR="0" wp14:anchorId="3C67E87A" wp14:editId="5CD479B4">
            <wp:extent cx="4453225" cy="2668961"/>
            <wp:effectExtent l="0" t="0" r="508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6374" cy="2688828"/>
                    </a:xfrm>
                    <a:prstGeom prst="rect">
                      <a:avLst/>
                    </a:prstGeom>
                    <a:noFill/>
                    <a:ln>
                      <a:noFill/>
                    </a:ln>
                  </pic:spPr>
                </pic:pic>
              </a:graphicData>
            </a:graphic>
          </wp:inline>
        </w:drawing>
      </w:r>
    </w:p>
    <w:p w:rsidR="00442DE5" w:rsidRPr="000B5129" w:rsidRDefault="00BD6252" w:rsidP="004423E5">
      <w:pPr>
        <w:pStyle w:val="Heading3"/>
        <w:rPr>
          <w:rFonts w:ascii="Candara" w:hAnsi="Candara"/>
          <w:b/>
          <w:lang w:val="es-MX"/>
        </w:rPr>
      </w:pPr>
      <w:r w:rsidRPr="000B5129">
        <w:rPr>
          <w:rFonts w:ascii="Candara" w:hAnsi="Candara"/>
          <w:b/>
          <w:lang w:val="es-MX"/>
        </w:rPr>
        <w:lastRenderedPageBreak/>
        <w:t xml:space="preserve"> </w:t>
      </w:r>
      <w:bookmarkStart w:id="56" w:name="_Toc56581215"/>
      <w:bookmarkStart w:id="57" w:name="_Toc64531480"/>
      <w:r w:rsidR="00AA7D08" w:rsidRPr="000B5129">
        <w:rPr>
          <w:rFonts w:ascii="Candara" w:hAnsi="Candara"/>
          <w:b/>
          <w:lang w:val="es-MX"/>
        </w:rPr>
        <w:t>3</w:t>
      </w:r>
      <w:r w:rsidR="009B117C" w:rsidRPr="000B5129">
        <w:rPr>
          <w:rFonts w:ascii="Candara" w:hAnsi="Candara"/>
          <w:b/>
          <w:lang w:val="es-MX"/>
        </w:rPr>
        <w:t xml:space="preserve">.2 </w:t>
      </w:r>
      <w:r w:rsidR="00442DE5" w:rsidRPr="000B5129">
        <w:rPr>
          <w:rFonts w:ascii="Candara" w:hAnsi="Candara"/>
          <w:b/>
          <w:lang w:val="es-MX"/>
        </w:rPr>
        <w:t>Deuda Externa.</w:t>
      </w:r>
      <w:bookmarkEnd w:id="56"/>
      <w:bookmarkEnd w:id="57"/>
    </w:p>
    <w:p w:rsidR="00442DE5" w:rsidRPr="007F50E2" w:rsidRDefault="00442DE5" w:rsidP="00442DE5">
      <w:pPr>
        <w:jc w:val="both"/>
        <w:rPr>
          <w:rFonts w:ascii="Candara" w:hAnsi="Candara"/>
          <w:sz w:val="24"/>
          <w:szCs w:val="24"/>
          <w:lang w:val="es-MX"/>
        </w:rPr>
      </w:pPr>
    </w:p>
    <w:p w:rsidR="00442DE5" w:rsidRDefault="00442DE5" w:rsidP="00442DE5">
      <w:pPr>
        <w:jc w:val="both"/>
        <w:rPr>
          <w:rFonts w:ascii="Candara" w:hAnsi="Candara"/>
          <w:sz w:val="24"/>
          <w:szCs w:val="24"/>
          <w:lang w:val="es-MX"/>
        </w:rPr>
      </w:pPr>
      <w:r w:rsidRPr="007F50E2">
        <w:rPr>
          <w:rFonts w:ascii="Candara" w:hAnsi="Candara"/>
          <w:sz w:val="24"/>
          <w:szCs w:val="24"/>
          <w:lang w:val="es-MX"/>
        </w:rPr>
        <w:t xml:space="preserve">Por su parte, la deuda externa </w:t>
      </w:r>
      <w:r w:rsidR="00D41F8B" w:rsidRPr="007F50E2">
        <w:rPr>
          <w:rFonts w:ascii="Candara" w:hAnsi="Candara"/>
          <w:sz w:val="24"/>
          <w:szCs w:val="24"/>
          <w:lang w:val="es-MX"/>
        </w:rPr>
        <w:t xml:space="preserve">total </w:t>
      </w:r>
      <w:r w:rsidRPr="007F50E2">
        <w:rPr>
          <w:rFonts w:ascii="Candara" w:hAnsi="Candara"/>
          <w:sz w:val="24"/>
          <w:szCs w:val="24"/>
          <w:lang w:val="es-MX"/>
        </w:rPr>
        <w:t>ascendió a $</w:t>
      </w:r>
      <w:r w:rsidR="00BC69B8">
        <w:rPr>
          <w:rFonts w:ascii="Candara" w:hAnsi="Candara"/>
          <w:sz w:val="24"/>
          <w:szCs w:val="24"/>
          <w:lang w:val="es-MX"/>
        </w:rPr>
        <w:t>10,</w:t>
      </w:r>
      <w:r w:rsidR="002B4222">
        <w:rPr>
          <w:rFonts w:ascii="Candara" w:hAnsi="Candara"/>
          <w:sz w:val="24"/>
          <w:szCs w:val="24"/>
          <w:lang w:val="es-MX"/>
        </w:rPr>
        <w:t>739.6</w:t>
      </w:r>
      <w:r w:rsidR="00481AC8" w:rsidRPr="007F50E2">
        <w:rPr>
          <w:rFonts w:ascii="Candara" w:hAnsi="Candara"/>
          <w:sz w:val="24"/>
          <w:szCs w:val="24"/>
          <w:lang w:val="es-MX"/>
        </w:rPr>
        <w:t xml:space="preserve"> </w:t>
      </w:r>
      <w:r w:rsidRPr="007F50E2">
        <w:rPr>
          <w:rFonts w:ascii="Candara" w:hAnsi="Candara"/>
          <w:sz w:val="24"/>
          <w:szCs w:val="24"/>
          <w:lang w:val="es-MX"/>
        </w:rPr>
        <w:t xml:space="preserve">millones, representando el </w:t>
      </w:r>
      <w:r w:rsidR="00BC69B8">
        <w:rPr>
          <w:rFonts w:ascii="Candara" w:hAnsi="Candara"/>
          <w:sz w:val="24"/>
          <w:szCs w:val="24"/>
          <w:lang w:val="es-MX"/>
        </w:rPr>
        <w:t>42.</w:t>
      </w:r>
      <w:r w:rsidR="002B4222">
        <w:rPr>
          <w:rFonts w:ascii="Candara" w:hAnsi="Candara"/>
          <w:sz w:val="24"/>
          <w:szCs w:val="24"/>
          <w:lang w:val="es-MX"/>
        </w:rPr>
        <w:t>5</w:t>
      </w:r>
      <w:r w:rsidRPr="007F50E2">
        <w:rPr>
          <w:rFonts w:ascii="Candara" w:hAnsi="Candara"/>
          <w:sz w:val="24"/>
          <w:szCs w:val="24"/>
          <w:lang w:val="es-MX"/>
        </w:rPr>
        <w:t>% del PIB, resultando m</w:t>
      </w:r>
      <w:r w:rsidR="006A0614">
        <w:rPr>
          <w:rFonts w:ascii="Candara" w:hAnsi="Candara"/>
          <w:sz w:val="24"/>
          <w:szCs w:val="24"/>
          <w:lang w:val="es-MX"/>
        </w:rPr>
        <w:t>ayor</w:t>
      </w:r>
      <w:r w:rsidRPr="007F50E2">
        <w:rPr>
          <w:rFonts w:ascii="Candara" w:hAnsi="Candara"/>
          <w:sz w:val="24"/>
          <w:szCs w:val="24"/>
          <w:lang w:val="es-MX"/>
        </w:rPr>
        <w:t xml:space="preserve"> en $</w:t>
      </w:r>
      <w:r w:rsidR="002B4222">
        <w:rPr>
          <w:rFonts w:ascii="Candara" w:hAnsi="Candara"/>
          <w:sz w:val="24"/>
          <w:szCs w:val="24"/>
          <w:lang w:val="es-MX"/>
        </w:rPr>
        <w:t>1,1</w:t>
      </w:r>
      <w:r w:rsidR="004B1AD2">
        <w:rPr>
          <w:rFonts w:ascii="Candara" w:hAnsi="Candara"/>
          <w:sz w:val="24"/>
          <w:szCs w:val="24"/>
          <w:lang w:val="es-MX"/>
        </w:rPr>
        <w:t>10.0</w:t>
      </w:r>
      <w:r w:rsidRPr="007F50E2">
        <w:rPr>
          <w:rFonts w:ascii="Candara" w:hAnsi="Candara"/>
          <w:sz w:val="24"/>
          <w:szCs w:val="24"/>
          <w:lang w:val="es-MX"/>
        </w:rPr>
        <w:t xml:space="preserve"> millones, equivalentes a </w:t>
      </w:r>
      <w:r w:rsidR="002B4222">
        <w:rPr>
          <w:rFonts w:ascii="Candara" w:hAnsi="Candara"/>
          <w:sz w:val="24"/>
          <w:szCs w:val="24"/>
          <w:lang w:val="es-MX"/>
        </w:rPr>
        <w:t>11.5</w:t>
      </w:r>
      <w:r w:rsidRPr="007F50E2">
        <w:rPr>
          <w:rFonts w:ascii="Candara" w:hAnsi="Candara"/>
          <w:sz w:val="24"/>
          <w:szCs w:val="24"/>
          <w:lang w:val="es-MX"/>
        </w:rPr>
        <w:t xml:space="preserve">% con relación al saldo registrado </w:t>
      </w:r>
      <w:r w:rsidR="008C7079" w:rsidRPr="007F50E2">
        <w:rPr>
          <w:rFonts w:ascii="Candara" w:hAnsi="Candara"/>
          <w:sz w:val="24"/>
          <w:szCs w:val="24"/>
          <w:lang w:val="es-MX"/>
        </w:rPr>
        <w:t xml:space="preserve">en </w:t>
      </w:r>
      <w:r w:rsidR="006854AC">
        <w:rPr>
          <w:rFonts w:ascii="Candara" w:hAnsi="Candara"/>
          <w:sz w:val="24"/>
          <w:szCs w:val="24"/>
          <w:lang w:val="es-MX"/>
        </w:rPr>
        <w:t>diciembre</w:t>
      </w:r>
      <w:r w:rsidR="00D41F8B" w:rsidRPr="007F50E2">
        <w:rPr>
          <w:rFonts w:ascii="Candara" w:hAnsi="Candara"/>
          <w:sz w:val="24"/>
          <w:szCs w:val="24"/>
          <w:lang w:val="es-MX"/>
        </w:rPr>
        <w:t xml:space="preserve"> </w:t>
      </w:r>
      <w:r w:rsidR="00042C94">
        <w:rPr>
          <w:rFonts w:ascii="Candara" w:hAnsi="Candara"/>
          <w:sz w:val="24"/>
          <w:szCs w:val="24"/>
          <w:lang w:val="es-MX"/>
        </w:rPr>
        <w:t>2019</w:t>
      </w:r>
      <w:r w:rsidRPr="00A131FE">
        <w:rPr>
          <w:rFonts w:ascii="Candara" w:hAnsi="Candara"/>
          <w:sz w:val="24"/>
          <w:szCs w:val="24"/>
          <w:lang w:val="es-MX"/>
        </w:rPr>
        <w:t>. Con respecto a su composición, el saldo de la deuda externa está concentrado en las Instituciones multilaterales, con $</w:t>
      </w:r>
      <w:r w:rsidR="00461174" w:rsidRPr="00A131FE">
        <w:rPr>
          <w:rFonts w:ascii="Candara" w:hAnsi="Candara"/>
          <w:sz w:val="24"/>
          <w:szCs w:val="24"/>
          <w:lang w:val="es-MX"/>
        </w:rPr>
        <w:t>4</w:t>
      </w:r>
      <w:r w:rsidRPr="00A131FE">
        <w:rPr>
          <w:rFonts w:ascii="Candara" w:hAnsi="Candara"/>
          <w:sz w:val="24"/>
          <w:szCs w:val="24"/>
          <w:lang w:val="es-MX"/>
        </w:rPr>
        <w:t>,</w:t>
      </w:r>
      <w:r w:rsidR="00A131FE" w:rsidRPr="00A131FE">
        <w:rPr>
          <w:rFonts w:ascii="Candara" w:hAnsi="Candara"/>
          <w:sz w:val="24"/>
          <w:szCs w:val="24"/>
          <w:lang w:val="es-MX"/>
        </w:rPr>
        <w:t>2</w:t>
      </w:r>
      <w:r w:rsidR="004A7D32" w:rsidRPr="00A131FE">
        <w:rPr>
          <w:rFonts w:ascii="Candara" w:hAnsi="Candara"/>
          <w:sz w:val="24"/>
          <w:szCs w:val="24"/>
          <w:lang w:val="es-MX"/>
        </w:rPr>
        <w:t>99.0</w:t>
      </w:r>
      <w:r w:rsidRPr="00A131FE">
        <w:rPr>
          <w:rFonts w:ascii="Candara" w:hAnsi="Candara"/>
          <w:sz w:val="24"/>
          <w:szCs w:val="24"/>
          <w:lang w:val="es-MX"/>
        </w:rPr>
        <w:t xml:space="preserve"> millones, destacándose el BID, con $</w:t>
      </w:r>
      <w:r w:rsidR="00F32152" w:rsidRPr="00A131FE">
        <w:rPr>
          <w:rFonts w:ascii="Candara" w:hAnsi="Candara"/>
          <w:sz w:val="24"/>
          <w:szCs w:val="24"/>
          <w:lang w:val="es-MX"/>
        </w:rPr>
        <w:t>2,</w:t>
      </w:r>
      <w:r w:rsidR="00BC69B8" w:rsidRPr="00A131FE">
        <w:rPr>
          <w:rFonts w:ascii="Candara" w:hAnsi="Candara"/>
          <w:sz w:val="24"/>
          <w:szCs w:val="24"/>
          <w:lang w:val="es-MX"/>
        </w:rPr>
        <w:t>2</w:t>
      </w:r>
      <w:r w:rsidR="004A7D32" w:rsidRPr="00A131FE">
        <w:rPr>
          <w:rFonts w:ascii="Candara" w:hAnsi="Candara"/>
          <w:sz w:val="24"/>
          <w:szCs w:val="24"/>
          <w:lang w:val="es-MX"/>
        </w:rPr>
        <w:t>14.6</w:t>
      </w:r>
      <w:r w:rsidR="00EC41B4" w:rsidRPr="00A131FE">
        <w:rPr>
          <w:rFonts w:ascii="Candara" w:hAnsi="Candara"/>
          <w:sz w:val="24"/>
          <w:szCs w:val="24"/>
          <w:lang w:val="es-MX"/>
        </w:rPr>
        <w:t xml:space="preserve"> </w:t>
      </w:r>
      <w:r w:rsidRPr="00A131FE">
        <w:rPr>
          <w:rFonts w:ascii="Candara" w:hAnsi="Candara"/>
          <w:sz w:val="24"/>
          <w:szCs w:val="24"/>
          <w:lang w:val="es-MX"/>
        </w:rPr>
        <w:t>millones; el BIRF, con $</w:t>
      </w:r>
      <w:r w:rsidR="00BC69B8" w:rsidRPr="00A131FE">
        <w:rPr>
          <w:rFonts w:ascii="Candara" w:hAnsi="Candara"/>
          <w:sz w:val="24"/>
          <w:szCs w:val="24"/>
          <w:lang w:val="es-MX"/>
        </w:rPr>
        <w:t>784.0</w:t>
      </w:r>
      <w:r w:rsidRPr="00A131FE">
        <w:rPr>
          <w:rFonts w:ascii="Candara" w:hAnsi="Candara"/>
          <w:sz w:val="24"/>
          <w:szCs w:val="24"/>
          <w:lang w:val="es-MX"/>
        </w:rPr>
        <w:t xml:space="preserve"> millones y el BCIE, con un saldo de $</w:t>
      </w:r>
      <w:r w:rsidR="00AB1073" w:rsidRPr="00A131FE">
        <w:rPr>
          <w:rFonts w:ascii="Candara" w:hAnsi="Candara"/>
          <w:sz w:val="24"/>
          <w:szCs w:val="24"/>
          <w:lang w:val="es-MX"/>
        </w:rPr>
        <w:t>8</w:t>
      </w:r>
      <w:r w:rsidR="004A7D32" w:rsidRPr="00A131FE">
        <w:rPr>
          <w:rFonts w:ascii="Candara" w:hAnsi="Candara"/>
          <w:sz w:val="24"/>
          <w:szCs w:val="24"/>
          <w:lang w:val="es-MX"/>
        </w:rPr>
        <w:t>21.0</w:t>
      </w:r>
      <w:r w:rsidRPr="00A131FE">
        <w:rPr>
          <w:rFonts w:ascii="Candara" w:hAnsi="Candara"/>
          <w:sz w:val="24"/>
          <w:szCs w:val="24"/>
          <w:lang w:val="es-MX"/>
        </w:rPr>
        <w:t xml:space="preserve"> millones, entre otros. La deuda bilateral ascendió a $</w:t>
      </w:r>
      <w:r w:rsidR="00461174" w:rsidRPr="00A131FE">
        <w:rPr>
          <w:rFonts w:ascii="Candara" w:hAnsi="Candara"/>
          <w:sz w:val="24"/>
          <w:szCs w:val="24"/>
          <w:lang w:val="es-MX"/>
        </w:rPr>
        <w:t>36</w:t>
      </w:r>
      <w:r w:rsidR="004A7D32" w:rsidRPr="00A131FE">
        <w:rPr>
          <w:rFonts w:ascii="Candara" w:hAnsi="Candara"/>
          <w:sz w:val="24"/>
          <w:szCs w:val="24"/>
          <w:lang w:val="es-MX"/>
        </w:rPr>
        <w:t>9.2</w:t>
      </w:r>
      <w:r w:rsidR="00BD7E5E" w:rsidRPr="00A131FE">
        <w:rPr>
          <w:rFonts w:ascii="Candara" w:hAnsi="Candara"/>
          <w:sz w:val="24"/>
          <w:szCs w:val="24"/>
          <w:lang w:val="es-MX"/>
        </w:rPr>
        <w:t xml:space="preserve"> </w:t>
      </w:r>
      <w:r w:rsidRPr="00A131FE">
        <w:rPr>
          <w:rFonts w:ascii="Candara" w:hAnsi="Candara"/>
          <w:sz w:val="24"/>
          <w:szCs w:val="24"/>
          <w:lang w:val="es-MX"/>
        </w:rPr>
        <w:t xml:space="preserve">millones, sobresaliendo </w:t>
      </w:r>
      <w:r w:rsidR="00853AA2" w:rsidRPr="00A131FE">
        <w:rPr>
          <w:rFonts w:ascii="Candara" w:hAnsi="Candara"/>
          <w:sz w:val="24"/>
          <w:szCs w:val="24"/>
          <w:lang w:val="es-MX"/>
        </w:rPr>
        <w:t>Alemania con $</w:t>
      </w:r>
      <w:r w:rsidR="00684C98" w:rsidRPr="00A131FE">
        <w:rPr>
          <w:rFonts w:ascii="Candara" w:hAnsi="Candara"/>
          <w:sz w:val="24"/>
          <w:szCs w:val="24"/>
          <w:lang w:val="es-MX"/>
        </w:rPr>
        <w:t>13</w:t>
      </w:r>
      <w:r w:rsidR="00BC69B8" w:rsidRPr="00A131FE">
        <w:rPr>
          <w:rFonts w:ascii="Candara" w:hAnsi="Candara"/>
          <w:sz w:val="24"/>
          <w:szCs w:val="24"/>
          <w:lang w:val="es-MX"/>
        </w:rPr>
        <w:t>3.</w:t>
      </w:r>
      <w:r w:rsidR="004A7D32" w:rsidRPr="00A131FE">
        <w:rPr>
          <w:rFonts w:ascii="Candara" w:hAnsi="Candara"/>
          <w:sz w:val="24"/>
          <w:szCs w:val="24"/>
          <w:lang w:val="es-MX"/>
        </w:rPr>
        <w:t>2</w:t>
      </w:r>
      <w:r w:rsidR="00853AA2" w:rsidRPr="00A131FE">
        <w:rPr>
          <w:rFonts w:ascii="Candara" w:hAnsi="Candara"/>
          <w:sz w:val="24"/>
          <w:szCs w:val="24"/>
          <w:lang w:val="es-MX"/>
        </w:rPr>
        <w:t xml:space="preserve"> millones y </w:t>
      </w:r>
      <w:r w:rsidRPr="00A131FE">
        <w:rPr>
          <w:rFonts w:ascii="Candara" w:hAnsi="Candara"/>
          <w:sz w:val="24"/>
          <w:szCs w:val="24"/>
          <w:lang w:val="es-MX"/>
        </w:rPr>
        <w:t>Japón con un saldo de $</w:t>
      </w:r>
      <w:r w:rsidR="006B6EC2" w:rsidRPr="00A131FE">
        <w:rPr>
          <w:rFonts w:ascii="Candara" w:hAnsi="Candara"/>
          <w:sz w:val="24"/>
          <w:szCs w:val="24"/>
          <w:lang w:val="es-MX"/>
        </w:rPr>
        <w:t>1</w:t>
      </w:r>
      <w:r w:rsidR="00461174" w:rsidRPr="00A131FE">
        <w:rPr>
          <w:rFonts w:ascii="Candara" w:hAnsi="Candara"/>
          <w:sz w:val="24"/>
          <w:szCs w:val="24"/>
          <w:lang w:val="es-MX"/>
        </w:rPr>
        <w:t>4</w:t>
      </w:r>
      <w:r w:rsidR="004A7D32" w:rsidRPr="00A131FE">
        <w:rPr>
          <w:rFonts w:ascii="Candara" w:hAnsi="Candara"/>
          <w:sz w:val="24"/>
          <w:szCs w:val="24"/>
          <w:lang w:val="es-MX"/>
        </w:rPr>
        <w:t>3.2</w:t>
      </w:r>
      <w:r w:rsidRPr="00A131FE">
        <w:rPr>
          <w:rFonts w:ascii="Candara" w:hAnsi="Candara"/>
          <w:sz w:val="24"/>
          <w:szCs w:val="24"/>
          <w:lang w:val="es-MX"/>
        </w:rPr>
        <w:t xml:space="preserve"> millones</w:t>
      </w:r>
      <w:r w:rsidR="00672060" w:rsidRPr="00A131FE">
        <w:rPr>
          <w:rFonts w:ascii="Candara" w:hAnsi="Candara"/>
          <w:sz w:val="24"/>
          <w:szCs w:val="24"/>
          <w:lang w:val="es-MX"/>
        </w:rPr>
        <w:t>,</w:t>
      </w:r>
      <w:r w:rsidR="00853AA2" w:rsidRPr="00A131FE">
        <w:rPr>
          <w:rFonts w:ascii="Candara" w:hAnsi="Candara"/>
          <w:sz w:val="24"/>
          <w:szCs w:val="24"/>
          <w:lang w:val="es-MX"/>
        </w:rPr>
        <w:t xml:space="preserve"> entre otros</w:t>
      </w:r>
      <w:r w:rsidRPr="00A131FE">
        <w:rPr>
          <w:rFonts w:ascii="Candara" w:hAnsi="Candara"/>
          <w:sz w:val="24"/>
          <w:szCs w:val="24"/>
          <w:lang w:val="es-MX"/>
        </w:rPr>
        <w:t xml:space="preserve">. Finalmente, los eurobonos en poder de no residentes </w:t>
      </w:r>
      <w:r w:rsidR="00080493" w:rsidRPr="00A131FE">
        <w:rPr>
          <w:rFonts w:ascii="Candara" w:hAnsi="Candara"/>
          <w:sz w:val="24"/>
          <w:szCs w:val="24"/>
          <w:lang w:val="es-MX"/>
        </w:rPr>
        <w:t xml:space="preserve">(deuda comercial) </w:t>
      </w:r>
      <w:r w:rsidRPr="00A131FE">
        <w:rPr>
          <w:rFonts w:ascii="Candara" w:hAnsi="Candara"/>
          <w:sz w:val="24"/>
          <w:szCs w:val="24"/>
          <w:lang w:val="es-MX"/>
        </w:rPr>
        <w:t>ascendieron a $</w:t>
      </w:r>
      <w:r w:rsidR="00BC69B8" w:rsidRPr="00A131FE">
        <w:rPr>
          <w:rFonts w:ascii="Candara" w:hAnsi="Candara"/>
          <w:sz w:val="24"/>
          <w:szCs w:val="24"/>
          <w:lang w:val="es-MX"/>
        </w:rPr>
        <w:t>6,0</w:t>
      </w:r>
      <w:r w:rsidR="00A131FE" w:rsidRPr="00A131FE">
        <w:rPr>
          <w:rFonts w:ascii="Candara" w:hAnsi="Candara"/>
          <w:sz w:val="24"/>
          <w:szCs w:val="24"/>
          <w:lang w:val="es-MX"/>
        </w:rPr>
        <w:t>71.4</w:t>
      </w:r>
      <w:r w:rsidRPr="00A131FE">
        <w:rPr>
          <w:rFonts w:ascii="Candara" w:hAnsi="Candara"/>
          <w:sz w:val="24"/>
          <w:szCs w:val="24"/>
          <w:lang w:val="es-MX"/>
        </w:rPr>
        <w:t xml:space="preserve"> millones (incluye $120.0 millones emitidos en el mercado nacional y adquirido por un acreedor externo).</w:t>
      </w:r>
    </w:p>
    <w:p w:rsidR="002B4222" w:rsidRPr="007F50E2" w:rsidRDefault="002B4222" w:rsidP="00442DE5">
      <w:pPr>
        <w:jc w:val="both"/>
        <w:rPr>
          <w:rFonts w:ascii="Candara" w:hAnsi="Candara"/>
          <w:sz w:val="24"/>
          <w:szCs w:val="24"/>
          <w:lang w:val="es-MX"/>
        </w:rPr>
      </w:pPr>
    </w:p>
    <w:p w:rsidR="00442DE5" w:rsidRPr="009651F5" w:rsidRDefault="00442DE5" w:rsidP="004423E5">
      <w:pPr>
        <w:pStyle w:val="Heading3"/>
        <w:rPr>
          <w:rFonts w:ascii="Candara" w:hAnsi="Candara"/>
          <w:b/>
          <w:lang w:val="es-MX"/>
        </w:rPr>
      </w:pPr>
      <w:r w:rsidRPr="009651F5">
        <w:rPr>
          <w:rFonts w:ascii="Candara" w:hAnsi="Candara"/>
          <w:b/>
          <w:lang w:val="es-MX"/>
        </w:rPr>
        <w:t xml:space="preserve"> </w:t>
      </w:r>
      <w:bookmarkStart w:id="58" w:name="_Toc56581216"/>
      <w:bookmarkStart w:id="59" w:name="_Toc64531481"/>
      <w:r w:rsidR="00AA7D08" w:rsidRPr="009651F5">
        <w:rPr>
          <w:rFonts w:ascii="Candara" w:hAnsi="Candara"/>
          <w:b/>
          <w:lang w:val="es-MX"/>
        </w:rPr>
        <w:t>3</w:t>
      </w:r>
      <w:r w:rsidR="009B117C" w:rsidRPr="009651F5">
        <w:rPr>
          <w:rFonts w:ascii="Candara" w:hAnsi="Candara"/>
          <w:b/>
          <w:lang w:val="es-MX"/>
        </w:rPr>
        <w:t xml:space="preserve">.3 </w:t>
      </w:r>
      <w:r w:rsidRPr="009651F5">
        <w:rPr>
          <w:rFonts w:ascii="Candara" w:hAnsi="Candara"/>
          <w:b/>
          <w:lang w:val="es-MX"/>
        </w:rPr>
        <w:t>Flujos de deuda (desembolsos de préstamos externos</w:t>
      </w:r>
      <w:r w:rsidR="00A60B8E" w:rsidRPr="009651F5">
        <w:rPr>
          <w:rFonts w:ascii="Candara" w:hAnsi="Candara"/>
          <w:b/>
          <w:lang w:val="es-MX"/>
        </w:rPr>
        <w:t xml:space="preserve"> y Eurobonos</w:t>
      </w:r>
      <w:r w:rsidRPr="009651F5">
        <w:rPr>
          <w:rFonts w:ascii="Candara" w:hAnsi="Candara"/>
          <w:b/>
          <w:lang w:val="es-MX"/>
        </w:rPr>
        <w:t>)</w:t>
      </w:r>
      <w:bookmarkEnd w:id="58"/>
      <w:bookmarkEnd w:id="59"/>
    </w:p>
    <w:p w:rsidR="00442DE5" w:rsidRPr="007F50E2" w:rsidRDefault="00442DE5" w:rsidP="00442DE5">
      <w:pPr>
        <w:jc w:val="both"/>
        <w:rPr>
          <w:rFonts w:ascii="Candara" w:hAnsi="Candara"/>
          <w:sz w:val="24"/>
          <w:szCs w:val="24"/>
          <w:lang w:val="es-MX"/>
        </w:rPr>
      </w:pPr>
    </w:p>
    <w:p w:rsidR="0061719D" w:rsidRPr="007F50E2" w:rsidRDefault="00442DE5" w:rsidP="00442DE5">
      <w:pPr>
        <w:jc w:val="both"/>
        <w:rPr>
          <w:rFonts w:ascii="Candara" w:hAnsi="Candara"/>
          <w:sz w:val="24"/>
          <w:szCs w:val="24"/>
          <w:lang w:val="es-MX"/>
        </w:rPr>
      </w:pPr>
      <w:r w:rsidRPr="00287807">
        <w:rPr>
          <w:rFonts w:ascii="Candara" w:hAnsi="Candara"/>
          <w:sz w:val="24"/>
          <w:szCs w:val="24"/>
          <w:lang w:val="es-MX"/>
        </w:rPr>
        <w:t xml:space="preserve">Los desembolsos de préstamos externos </w:t>
      </w:r>
      <w:r w:rsidR="005767D6" w:rsidRPr="00287807">
        <w:rPr>
          <w:rFonts w:ascii="Candara" w:hAnsi="Candara"/>
          <w:sz w:val="24"/>
          <w:szCs w:val="24"/>
          <w:lang w:val="es-MX"/>
        </w:rPr>
        <w:t xml:space="preserve">a </w:t>
      </w:r>
      <w:r w:rsidR="006854AC">
        <w:rPr>
          <w:rFonts w:ascii="Candara" w:hAnsi="Candara"/>
          <w:sz w:val="24"/>
          <w:szCs w:val="24"/>
          <w:lang w:val="es-MX"/>
        </w:rPr>
        <w:t>diciembre</w:t>
      </w:r>
      <w:r w:rsidR="005767D6" w:rsidRPr="00287807">
        <w:rPr>
          <w:rFonts w:ascii="Candara" w:hAnsi="Candara"/>
          <w:sz w:val="24"/>
          <w:szCs w:val="24"/>
          <w:lang w:val="es-MX"/>
        </w:rPr>
        <w:t xml:space="preserve"> </w:t>
      </w:r>
      <w:r w:rsidR="00042C94" w:rsidRPr="00287807">
        <w:rPr>
          <w:rFonts w:ascii="Candara" w:hAnsi="Candara"/>
          <w:sz w:val="24"/>
          <w:szCs w:val="24"/>
          <w:lang w:val="es-MX"/>
        </w:rPr>
        <w:t>2020</w:t>
      </w:r>
      <w:r w:rsidR="0006124F" w:rsidRPr="00287807">
        <w:rPr>
          <w:rFonts w:ascii="Candara" w:hAnsi="Candara"/>
          <w:sz w:val="24"/>
          <w:szCs w:val="24"/>
          <w:lang w:val="es-MX"/>
        </w:rPr>
        <w:t xml:space="preserve"> </w:t>
      </w:r>
      <w:r w:rsidRPr="00287807">
        <w:rPr>
          <w:rFonts w:ascii="Candara" w:hAnsi="Candara"/>
          <w:sz w:val="24"/>
          <w:szCs w:val="24"/>
          <w:lang w:val="es-MX"/>
        </w:rPr>
        <w:t xml:space="preserve">del SPNF alcanzaron un monto de </w:t>
      </w:r>
      <w:r w:rsidR="00745752">
        <w:rPr>
          <w:rFonts w:ascii="Candara" w:hAnsi="Candara"/>
          <w:sz w:val="24"/>
          <w:szCs w:val="24"/>
          <w:lang w:val="es-MX"/>
        </w:rPr>
        <w:t>$1,6</w:t>
      </w:r>
      <w:r w:rsidR="009D6496">
        <w:rPr>
          <w:rFonts w:ascii="Candara" w:hAnsi="Candara"/>
          <w:sz w:val="24"/>
          <w:szCs w:val="24"/>
          <w:lang w:val="es-MX"/>
        </w:rPr>
        <w:t>35.3</w:t>
      </w:r>
      <w:r w:rsidR="00745752">
        <w:rPr>
          <w:rFonts w:ascii="Candara" w:hAnsi="Candara"/>
          <w:sz w:val="24"/>
          <w:szCs w:val="24"/>
          <w:lang w:val="es-MX"/>
        </w:rPr>
        <w:t xml:space="preserve"> </w:t>
      </w:r>
      <w:r w:rsidRPr="00287807">
        <w:rPr>
          <w:rFonts w:ascii="Candara" w:hAnsi="Candara"/>
          <w:sz w:val="24"/>
          <w:szCs w:val="24"/>
          <w:lang w:val="es-MX"/>
        </w:rPr>
        <w:t xml:space="preserve">millones provenientes principalmente de instituciones multilaterales como </w:t>
      </w:r>
      <w:r w:rsidR="00287807">
        <w:rPr>
          <w:rFonts w:ascii="Candara" w:hAnsi="Candara"/>
          <w:sz w:val="24"/>
          <w:szCs w:val="24"/>
          <w:lang w:val="es-MX"/>
        </w:rPr>
        <w:t>BCIE con $</w:t>
      </w:r>
      <w:r w:rsidR="009D6496">
        <w:rPr>
          <w:rFonts w:ascii="Candara" w:hAnsi="Candara"/>
          <w:sz w:val="24"/>
          <w:szCs w:val="24"/>
          <w:lang w:val="es-MX"/>
        </w:rPr>
        <w:t>53.0</w:t>
      </w:r>
      <w:r w:rsidR="00287807">
        <w:rPr>
          <w:rFonts w:ascii="Candara" w:hAnsi="Candara"/>
          <w:sz w:val="24"/>
          <w:szCs w:val="24"/>
          <w:lang w:val="es-MX"/>
        </w:rPr>
        <w:t xml:space="preserve"> millones</w:t>
      </w:r>
      <w:r w:rsidR="008306FC">
        <w:rPr>
          <w:rFonts w:ascii="Candara" w:hAnsi="Candara"/>
          <w:sz w:val="24"/>
          <w:szCs w:val="24"/>
          <w:lang w:val="es-MX"/>
        </w:rPr>
        <w:t>;</w:t>
      </w:r>
      <w:r w:rsidR="00287807">
        <w:rPr>
          <w:rFonts w:ascii="Candara" w:hAnsi="Candara"/>
          <w:sz w:val="24"/>
          <w:szCs w:val="24"/>
          <w:lang w:val="es-MX"/>
        </w:rPr>
        <w:t xml:space="preserve"> el </w:t>
      </w:r>
      <w:r w:rsidR="00A573B7" w:rsidRPr="00287807">
        <w:rPr>
          <w:rFonts w:ascii="Candara" w:hAnsi="Candara"/>
          <w:sz w:val="24"/>
          <w:szCs w:val="24"/>
          <w:lang w:val="es-MX"/>
        </w:rPr>
        <w:t>BI</w:t>
      </w:r>
      <w:r w:rsidR="00AB1073" w:rsidRPr="00287807">
        <w:rPr>
          <w:rFonts w:ascii="Candara" w:hAnsi="Candara"/>
          <w:sz w:val="24"/>
          <w:szCs w:val="24"/>
          <w:lang w:val="es-MX"/>
        </w:rPr>
        <w:t>D</w:t>
      </w:r>
      <w:r w:rsidR="00A573B7" w:rsidRPr="00287807">
        <w:rPr>
          <w:rFonts w:ascii="Candara" w:hAnsi="Candara"/>
          <w:sz w:val="24"/>
          <w:szCs w:val="24"/>
          <w:lang w:val="es-MX"/>
        </w:rPr>
        <w:t xml:space="preserve"> con $</w:t>
      </w:r>
      <w:r w:rsidR="008306FC">
        <w:rPr>
          <w:rFonts w:ascii="Candara" w:hAnsi="Candara"/>
          <w:sz w:val="24"/>
          <w:szCs w:val="24"/>
          <w:lang w:val="es-MX"/>
        </w:rPr>
        <w:t>2</w:t>
      </w:r>
      <w:r w:rsidR="009D6496">
        <w:rPr>
          <w:rFonts w:ascii="Candara" w:hAnsi="Candara"/>
          <w:sz w:val="24"/>
          <w:szCs w:val="24"/>
          <w:lang w:val="es-MX"/>
        </w:rPr>
        <w:t>89.9</w:t>
      </w:r>
      <w:r w:rsidR="00A573B7" w:rsidRPr="00287807">
        <w:rPr>
          <w:rFonts w:ascii="Candara" w:hAnsi="Candara"/>
          <w:sz w:val="24"/>
          <w:szCs w:val="24"/>
          <w:lang w:val="es-MX"/>
        </w:rPr>
        <w:t xml:space="preserve"> millones</w:t>
      </w:r>
      <w:r w:rsidR="008306FC">
        <w:rPr>
          <w:rFonts w:ascii="Candara" w:hAnsi="Candara"/>
          <w:sz w:val="24"/>
          <w:szCs w:val="24"/>
          <w:lang w:val="es-MX"/>
        </w:rPr>
        <w:t>, FMI $393.0 millones y</w:t>
      </w:r>
      <w:r w:rsidR="00D46BF9">
        <w:rPr>
          <w:rFonts w:ascii="Candara" w:hAnsi="Candara"/>
          <w:sz w:val="24"/>
          <w:szCs w:val="24"/>
          <w:lang w:val="es-MX"/>
        </w:rPr>
        <w:t xml:space="preserve"> </w:t>
      </w:r>
      <w:r w:rsidR="008306FC">
        <w:rPr>
          <w:rFonts w:ascii="Candara" w:hAnsi="Candara"/>
          <w:sz w:val="24"/>
          <w:szCs w:val="24"/>
          <w:lang w:val="es-MX"/>
        </w:rPr>
        <w:t>la colocación de bonos por $1,000.0 millones</w:t>
      </w:r>
      <w:r w:rsidR="00745752">
        <w:rPr>
          <w:rStyle w:val="FootnoteReference"/>
          <w:rFonts w:ascii="Candara" w:hAnsi="Candara"/>
          <w:sz w:val="24"/>
          <w:szCs w:val="24"/>
          <w:lang w:val="es-MX"/>
        </w:rPr>
        <w:footnoteReference w:id="2"/>
      </w:r>
      <w:r w:rsidR="00A573B7" w:rsidRPr="00287807">
        <w:rPr>
          <w:rFonts w:ascii="Candara" w:hAnsi="Candara"/>
          <w:sz w:val="24"/>
          <w:szCs w:val="24"/>
          <w:lang w:val="es-MX"/>
        </w:rPr>
        <w:t xml:space="preserve">, </w:t>
      </w:r>
      <w:r w:rsidRPr="00287807">
        <w:rPr>
          <w:rFonts w:ascii="Candara" w:hAnsi="Candara"/>
          <w:sz w:val="24"/>
          <w:szCs w:val="24"/>
          <w:lang w:val="es-MX"/>
        </w:rPr>
        <w:t>entre otros</w:t>
      </w:r>
      <w:r w:rsidRPr="007F50E2">
        <w:rPr>
          <w:rFonts w:ascii="Candara" w:hAnsi="Candara"/>
          <w:sz w:val="24"/>
          <w:szCs w:val="24"/>
          <w:lang w:val="es-MX"/>
        </w:rPr>
        <w:t>.</w:t>
      </w:r>
    </w:p>
    <w:p w:rsidR="00442DE5" w:rsidRDefault="00442DE5" w:rsidP="00442DE5">
      <w:pPr>
        <w:jc w:val="both"/>
        <w:rPr>
          <w:rFonts w:ascii="Candara" w:hAnsi="Candara"/>
          <w:sz w:val="24"/>
          <w:szCs w:val="24"/>
          <w:lang w:val="es-MX"/>
        </w:rPr>
      </w:pPr>
    </w:p>
    <w:p w:rsidR="00442DE5" w:rsidRPr="009651F5" w:rsidRDefault="00442DE5" w:rsidP="004423E5">
      <w:pPr>
        <w:pStyle w:val="Heading3"/>
        <w:rPr>
          <w:rFonts w:ascii="Candara" w:hAnsi="Candara"/>
          <w:b/>
          <w:lang w:val="es-MX"/>
        </w:rPr>
      </w:pPr>
      <w:r w:rsidRPr="009651F5">
        <w:rPr>
          <w:rFonts w:ascii="Candara" w:hAnsi="Candara"/>
          <w:b/>
          <w:lang w:val="es-MX"/>
        </w:rPr>
        <w:t xml:space="preserve"> </w:t>
      </w:r>
      <w:bookmarkStart w:id="60" w:name="_Toc56581217"/>
      <w:bookmarkStart w:id="61" w:name="_Toc64531482"/>
      <w:r w:rsidR="00AA7D08" w:rsidRPr="009651F5">
        <w:rPr>
          <w:rFonts w:ascii="Candara" w:hAnsi="Candara"/>
          <w:b/>
          <w:lang w:val="es-MX"/>
        </w:rPr>
        <w:t>3</w:t>
      </w:r>
      <w:r w:rsidR="009B117C" w:rsidRPr="009651F5">
        <w:rPr>
          <w:rFonts w:ascii="Candara" w:hAnsi="Candara"/>
          <w:b/>
          <w:lang w:val="es-MX"/>
        </w:rPr>
        <w:t xml:space="preserve">.4 </w:t>
      </w:r>
      <w:r w:rsidRPr="009651F5">
        <w:rPr>
          <w:rFonts w:ascii="Candara" w:hAnsi="Candara"/>
          <w:b/>
          <w:lang w:val="es-MX"/>
        </w:rPr>
        <w:t>Servicio de la deuda</w:t>
      </w:r>
      <w:r w:rsidR="00170BAE" w:rsidRPr="009651F5">
        <w:rPr>
          <w:rFonts w:ascii="Candara" w:hAnsi="Candara"/>
          <w:b/>
          <w:lang w:val="es-MX"/>
        </w:rPr>
        <w:t xml:space="preserve"> del SPNF</w:t>
      </w:r>
      <w:bookmarkEnd w:id="60"/>
      <w:bookmarkEnd w:id="61"/>
    </w:p>
    <w:p w:rsidR="00442DE5" w:rsidRPr="009651F5" w:rsidRDefault="00442DE5" w:rsidP="00442DE5">
      <w:pPr>
        <w:jc w:val="both"/>
        <w:rPr>
          <w:rFonts w:ascii="Candara" w:hAnsi="Candara"/>
          <w:b/>
          <w:sz w:val="24"/>
          <w:szCs w:val="24"/>
          <w:lang w:val="es-MX"/>
        </w:rPr>
      </w:pPr>
    </w:p>
    <w:p w:rsidR="00A03C77" w:rsidRPr="00A03C77" w:rsidRDefault="00A03C77" w:rsidP="00A03C77">
      <w:pPr>
        <w:jc w:val="both"/>
        <w:rPr>
          <w:rFonts w:ascii="Candara" w:hAnsi="Candara"/>
          <w:sz w:val="24"/>
          <w:szCs w:val="24"/>
          <w:lang w:val="es-MX"/>
        </w:rPr>
      </w:pPr>
      <w:bookmarkStart w:id="62" w:name="_Toc56581219"/>
      <w:r w:rsidRPr="00A03C77">
        <w:rPr>
          <w:rFonts w:ascii="Candara" w:hAnsi="Candara"/>
          <w:sz w:val="24"/>
          <w:szCs w:val="24"/>
          <w:lang w:val="es-MX"/>
        </w:rPr>
        <w:t xml:space="preserve">En el servicio de deuda se han efectuado amortizaciones de capital acumulados al mes de </w:t>
      </w:r>
      <w:r w:rsidR="00746E72">
        <w:rPr>
          <w:rFonts w:ascii="Candara" w:hAnsi="Candara"/>
          <w:sz w:val="24"/>
          <w:szCs w:val="24"/>
          <w:lang w:val="es-MX"/>
        </w:rPr>
        <w:t>d</w:t>
      </w:r>
      <w:r w:rsidRPr="00A03C77">
        <w:rPr>
          <w:rFonts w:ascii="Candara" w:hAnsi="Candara"/>
          <w:sz w:val="24"/>
          <w:szCs w:val="24"/>
          <w:lang w:val="es-MX"/>
        </w:rPr>
        <w:t>iciembre 2020 por un valor de $1,842.6 millones, que incluye pago de deuda interna por $ 1,493.6 que incluye el pago de LETES por $ 953.8 millones y CETES por $ 483.6 millones. Por su parte, las amortizaciones acumuladas efectuadas al sector externo ascienden a $349.0 millones.</w:t>
      </w:r>
    </w:p>
    <w:p w:rsidR="00A03C77" w:rsidRPr="00A03C77" w:rsidRDefault="00A03C77" w:rsidP="00A03C77">
      <w:pPr>
        <w:jc w:val="both"/>
        <w:rPr>
          <w:rFonts w:ascii="Candara" w:hAnsi="Candara"/>
          <w:sz w:val="24"/>
          <w:szCs w:val="24"/>
          <w:lang w:val="es-MX"/>
        </w:rPr>
      </w:pPr>
    </w:p>
    <w:p w:rsidR="00A03C77" w:rsidRPr="00A03C77" w:rsidRDefault="00A03C77" w:rsidP="00A03C77">
      <w:pPr>
        <w:jc w:val="both"/>
        <w:rPr>
          <w:rFonts w:ascii="Candara" w:hAnsi="Candara"/>
          <w:sz w:val="24"/>
          <w:szCs w:val="24"/>
          <w:lang w:val="es-MX"/>
        </w:rPr>
      </w:pPr>
      <w:r w:rsidRPr="00A03C77">
        <w:rPr>
          <w:rFonts w:ascii="Candara" w:hAnsi="Candara"/>
          <w:sz w:val="24"/>
          <w:szCs w:val="24"/>
          <w:lang w:val="es-MX"/>
        </w:rPr>
        <w:t>En cuanto al pago de intereses acumulados estos ascendieron a $1,081.4 millones, de los cuales $470.9 millones corresponden a deuda interna y se divide por instrumento de la siguiente forma: LETES, $55.3 millones; CIP $268.2 millones; Bonos internos y CETES $119.0 millones, $ 22.3 millones se dividen entre diversas titularizaciones y préstamos de las empresas, municipios y FOVIAL. El pago de intereses al sector externo asciende a $578.5 millones; de los cuales $459.7 millones corresponden a Bonos y $116.1 millones a préstamos.</w:t>
      </w:r>
    </w:p>
    <w:p w:rsidR="00A03C77" w:rsidRPr="00A03C77" w:rsidRDefault="00A03C77" w:rsidP="009A057C">
      <w:pPr>
        <w:jc w:val="both"/>
        <w:rPr>
          <w:rFonts w:ascii="Candara" w:hAnsi="Candara"/>
          <w:sz w:val="24"/>
          <w:szCs w:val="24"/>
          <w:lang w:val="es-MX"/>
        </w:rPr>
      </w:pPr>
    </w:p>
    <w:bookmarkEnd w:id="62"/>
    <w:p w:rsidR="00CC683E" w:rsidRDefault="00CC683E" w:rsidP="00CC683E">
      <w:pPr>
        <w:jc w:val="both"/>
        <w:rPr>
          <w:rFonts w:ascii="Candara" w:hAnsi="Candara"/>
          <w:sz w:val="24"/>
          <w:szCs w:val="24"/>
          <w:lang w:val="es-MX"/>
        </w:rPr>
      </w:pPr>
    </w:p>
    <w:p w:rsidR="00D41FD9" w:rsidRPr="003454B9" w:rsidRDefault="00442DE5" w:rsidP="004423E5">
      <w:pPr>
        <w:pStyle w:val="Heading3"/>
        <w:rPr>
          <w:rFonts w:ascii="Candara" w:hAnsi="Candara"/>
          <w:b/>
          <w:lang w:val="es-MX"/>
        </w:rPr>
      </w:pPr>
      <w:r w:rsidRPr="003454B9">
        <w:rPr>
          <w:rFonts w:ascii="Candara" w:hAnsi="Candara"/>
          <w:b/>
          <w:lang w:val="es-MX"/>
        </w:rPr>
        <w:t xml:space="preserve"> </w:t>
      </w:r>
      <w:bookmarkStart w:id="63" w:name="_Toc56581220"/>
      <w:bookmarkStart w:id="64" w:name="_Toc64531483"/>
      <w:r w:rsidR="00AA7D08" w:rsidRPr="003454B9">
        <w:rPr>
          <w:rFonts w:ascii="Candara" w:hAnsi="Candara"/>
          <w:b/>
          <w:lang w:val="es-MX"/>
        </w:rPr>
        <w:t>3</w:t>
      </w:r>
      <w:r w:rsidR="009B117C" w:rsidRPr="003454B9">
        <w:rPr>
          <w:rFonts w:ascii="Candara" w:hAnsi="Candara"/>
          <w:b/>
          <w:lang w:val="es-MX"/>
        </w:rPr>
        <w:t xml:space="preserve">.5 </w:t>
      </w:r>
      <w:r w:rsidRPr="003454B9">
        <w:rPr>
          <w:rFonts w:ascii="Candara" w:hAnsi="Candara"/>
          <w:b/>
          <w:lang w:val="es-MX"/>
        </w:rPr>
        <w:t>Deuda de Corto Plazo (LETES).</w:t>
      </w:r>
      <w:bookmarkEnd w:id="63"/>
      <w:bookmarkEnd w:id="64"/>
      <w:r w:rsidRPr="003454B9">
        <w:rPr>
          <w:rFonts w:ascii="Candara" w:hAnsi="Candara"/>
          <w:b/>
          <w:lang w:val="es-MX"/>
        </w:rPr>
        <w:t xml:space="preserve"> </w:t>
      </w:r>
      <w:bookmarkStart w:id="65" w:name="_Toc443399489"/>
      <w:bookmarkStart w:id="66" w:name="_Toc443556233"/>
      <w:bookmarkStart w:id="67" w:name="_Toc451344351"/>
    </w:p>
    <w:p w:rsidR="00D41FD9" w:rsidRPr="003454B9" w:rsidRDefault="00D41FD9" w:rsidP="004A685A">
      <w:pPr>
        <w:jc w:val="both"/>
        <w:rPr>
          <w:rFonts w:ascii="Candara" w:hAnsi="Candara"/>
          <w:b/>
          <w:sz w:val="24"/>
          <w:szCs w:val="24"/>
          <w:lang w:val="es-MX"/>
        </w:rPr>
      </w:pPr>
    </w:p>
    <w:p w:rsidR="00442DE5" w:rsidRPr="007F50E2" w:rsidRDefault="00442DE5" w:rsidP="009F1B61">
      <w:pPr>
        <w:jc w:val="both"/>
        <w:rPr>
          <w:rFonts w:ascii="Candara" w:hAnsi="Candara"/>
          <w:sz w:val="24"/>
          <w:szCs w:val="24"/>
          <w:lang w:val="es-MX"/>
        </w:rPr>
      </w:pPr>
      <w:r w:rsidRPr="007F50E2">
        <w:rPr>
          <w:rFonts w:ascii="Candara" w:hAnsi="Candara"/>
          <w:sz w:val="24"/>
          <w:szCs w:val="24"/>
          <w:lang w:val="es-MX"/>
        </w:rPr>
        <w:t xml:space="preserve">El saldo de las LETES (valor precio) al </w:t>
      </w:r>
      <w:r w:rsidR="00D752AF" w:rsidRPr="007F50E2">
        <w:rPr>
          <w:rFonts w:ascii="Candara" w:hAnsi="Candara"/>
          <w:sz w:val="24"/>
          <w:szCs w:val="24"/>
          <w:lang w:val="es-MX"/>
        </w:rPr>
        <w:t xml:space="preserve">mes de </w:t>
      </w:r>
      <w:r w:rsidR="006854AC">
        <w:rPr>
          <w:rFonts w:ascii="Candara" w:hAnsi="Candara"/>
          <w:sz w:val="24"/>
          <w:szCs w:val="24"/>
          <w:lang w:val="es-MX"/>
        </w:rPr>
        <w:t>diciembre</w:t>
      </w:r>
      <w:r w:rsidR="00C304A1">
        <w:rPr>
          <w:rFonts w:ascii="Candara" w:hAnsi="Candara"/>
          <w:sz w:val="24"/>
          <w:szCs w:val="24"/>
          <w:lang w:val="es-MX"/>
        </w:rPr>
        <w:t xml:space="preserve"> </w:t>
      </w:r>
      <w:r w:rsidRPr="007F50E2">
        <w:rPr>
          <w:rFonts w:ascii="Candara" w:hAnsi="Candara"/>
          <w:sz w:val="24"/>
          <w:szCs w:val="24"/>
          <w:lang w:val="es-MX"/>
        </w:rPr>
        <w:t>fue de US$</w:t>
      </w:r>
      <w:r w:rsidR="00990D7D">
        <w:rPr>
          <w:rFonts w:ascii="Candara" w:hAnsi="Candara"/>
          <w:sz w:val="24"/>
          <w:szCs w:val="24"/>
          <w:lang w:val="es-MX"/>
        </w:rPr>
        <w:t>1,3</w:t>
      </w:r>
      <w:r w:rsidR="00A03C77">
        <w:rPr>
          <w:rFonts w:ascii="Candara" w:hAnsi="Candara"/>
          <w:sz w:val="24"/>
          <w:szCs w:val="24"/>
          <w:lang w:val="es-MX"/>
        </w:rPr>
        <w:t>15.1</w:t>
      </w:r>
      <w:r w:rsidR="00990D7D">
        <w:rPr>
          <w:rFonts w:ascii="Candara" w:hAnsi="Candara"/>
          <w:sz w:val="24"/>
          <w:szCs w:val="24"/>
          <w:lang w:val="es-MX"/>
        </w:rPr>
        <w:t xml:space="preserve"> </w:t>
      </w:r>
      <w:r w:rsidRPr="007F50E2">
        <w:rPr>
          <w:rFonts w:ascii="Candara" w:hAnsi="Candara"/>
          <w:sz w:val="24"/>
          <w:szCs w:val="24"/>
          <w:lang w:val="es-MX"/>
        </w:rPr>
        <w:t xml:space="preserve">millones, equivalente a </w:t>
      </w:r>
      <w:r w:rsidR="00990D7D">
        <w:rPr>
          <w:rFonts w:ascii="Candara" w:hAnsi="Candara"/>
          <w:sz w:val="24"/>
          <w:szCs w:val="24"/>
          <w:lang w:val="es-MX"/>
        </w:rPr>
        <w:t>5.</w:t>
      </w:r>
      <w:r w:rsidR="00A03C77">
        <w:rPr>
          <w:rFonts w:ascii="Candara" w:hAnsi="Candara"/>
          <w:sz w:val="24"/>
          <w:szCs w:val="24"/>
          <w:lang w:val="es-MX"/>
        </w:rPr>
        <w:t>2</w:t>
      </w:r>
      <w:r w:rsidRPr="007F50E2">
        <w:rPr>
          <w:rFonts w:ascii="Candara" w:hAnsi="Candara"/>
          <w:sz w:val="24"/>
          <w:szCs w:val="24"/>
          <w:lang w:val="es-MX"/>
        </w:rPr>
        <w:t>% del PIB. El uso de las LETES como instrumento financiero de corto plazo, se utilizó para cubrir deficiencias temporales de caja durante la ejecución presupuestaria, incluyendo el pago de requerimientos pendientes de pago</w:t>
      </w:r>
      <w:r w:rsidR="00404593">
        <w:rPr>
          <w:rFonts w:ascii="Candara" w:hAnsi="Candara"/>
          <w:sz w:val="24"/>
          <w:szCs w:val="24"/>
          <w:lang w:val="es-MX"/>
        </w:rPr>
        <w:t xml:space="preserve"> (ver anexo 6)</w:t>
      </w:r>
      <w:r w:rsidRPr="007F50E2">
        <w:rPr>
          <w:rFonts w:ascii="Candara" w:hAnsi="Candara"/>
          <w:sz w:val="24"/>
          <w:szCs w:val="24"/>
          <w:lang w:val="es-MX"/>
        </w:rPr>
        <w:t>.</w:t>
      </w:r>
      <w:bookmarkEnd w:id="65"/>
      <w:bookmarkEnd w:id="66"/>
      <w:bookmarkEnd w:id="67"/>
    </w:p>
    <w:p w:rsidR="004249A7" w:rsidRDefault="004249A7" w:rsidP="009F1B61">
      <w:pPr>
        <w:jc w:val="both"/>
        <w:rPr>
          <w:rFonts w:ascii="Candara" w:hAnsi="Candara"/>
          <w:sz w:val="24"/>
          <w:szCs w:val="24"/>
          <w:lang w:val="es-MX"/>
        </w:rPr>
      </w:pPr>
    </w:p>
    <w:p w:rsidR="00456CE0" w:rsidRPr="007F50E2" w:rsidRDefault="00456CE0" w:rsidP="00386BC0">
      <w:pPr>
        <w:jc w:val="center"/>
        <w:rPr>
          <w:rFonts w:ascii="Candara" w:hAnsi="Candara"/>
          <w:sz w:val="24"/>
          <w:szCs w:val="24"/>
          <w:lang w:val="es-MX"/>
        </w:rPr>
      </w:pPr>
      <w:r w:rsidRPr="007F50E2">
        <w:rPr>
          <w:rFonts w:ascii="Candara" w:hAnsi="Candara"/>
          <w:sz w:val="24"/>
          <w:szCs w:val="24"/>
          <w:lang w:val="es-MX"/>
        </w:rPr>
        <w:lastRenderedPageBreak/>
        <w:t>Gráfico No.</w:t>
      </w:r>
      <w:r w:rsidR="006B57E8">
        <w:rPr>
          <w:rFonts w:ascii="Candara" w:hAnsi="Candara"/>
          <w:sz w:val="24"/>
          <w:szCs w:val="24"/>
          <w:lang w:val="es-MX"/>
        </w:rPr>
        <w:t xml:space="preserve">10 </w:t>
      </w:r>
      <w:r w:rsidRPr="007F50E2">
        <w:rPr>
          <w:rFonts w:ascii="Candara" w:hAnsi="Candara"/>
          <w:sz w:val="24"/>
          <w:szCs w:val="24"/>
          <w:lang w:val="es-MX"/>
        </w:rPr>
        <w:t xml:space="preserve">LETES: Saldos Anuales </w:t>
      </w:r>
      <w:r w:rsidR="007D5010">
        <w:rPr>
          <w:rFonts w:ascii="Candara" w:hAnsi="Candara"/>
          <w:sz w:val="24"/>
          <w:szCs w:val="24"/>
          <w:lang w:val="es-MX"/>
        </w:rPr>
        <w:t>2009</w:t>
      </w:r>
      <w:r w:rsidR="001B0E38" w:rsidRPr="007F50E2">
        <w:rPr>
          <w:rFonts w:ascii="Candara" w:hAnsi="Candara"/>
          <w:sz w:val="24"/>
          <w:szCs w:val="24"/>
          <w:lang w:val="es-MX"/>
        </w:rPr>
        <w:t xml:space="preserve"> </w:t>
      </w:r>
      <w:r w:rsidRPr="007F50E2">
        <w:rPr>
          <w:rFonts w:ascii="Candara" w:hAnsi="Candara"/>
          <w:sz w:val="24"/>
          <w:szCs w:val="24"/>
          <w:lang w:val="es-MX"/>
        </w:rPr>
        <w:t>-</w:t>
      </w:r>
      <w:r w:rsidR="00042C94">
        <w:rPr>
          <w:rFonts w:ascii="Candara" w:hAnsi="Candara"/>
          <w:sz w:val="24"/>
          <w:szCs w:val="24"/>
          <w:lang w:val="es-MX"/>
        </w:rPr>
        <w:t>20</w:t>
      </w:r>
      <w:r w:rsidR="007D5010">
        <w:rPr>
          <w:rFonts w:ascii="Candara" w:hAnsi="Candara"/>
          <w:sz w:val="24"/>
          <w:szCs w:val="24"/>
          <w:lang w:val="es-MX"/>
        </w:rPr>
        <w:t xml:space="preserve">20 </w:t>
      </w:r>
      <w:r w:rsidR="00F667C7" w:rsidRPr="007F50E2">
        <w:rPr>
          <w:rFonts w:ascii="Candara" w:hAnsi="Candara"/>
          <w:sz w:val="24"/>
          <w:szCs w:val="24"/>
          <w:lang w:val="es-MX"/>
        </w:rPr>
        <w:t>(valor precio)</w:t>
      </w:r>
      <w:r w:rsidRPr="007F50E2">
        <w:rPr>
          <w:rFonts w:ascii="Candara" w:hAnsi="Candara"/>
          <w:sz w:val="24"/>
          <w:szCs w:val="24"/>
          <w:lang w:val="es-MX"/>
        </w:rPr>
        <w:br/>
      </w:r>
      <w:r w:rsidR="002C6F24" w:rsidRPr="007F50E2">
        <w:rPr>
          <w:rFonts w:ascii="Candara" w:hAnsi="Candara"/>
          <w:sz w:val="24"/>
          <w:szCs w:val="24"/>
          <w:lang w:val="es-MX"/>
        </w:rPr>
        <w:t xml:space="preserve"> </w:t>
      </w:r>
      <w:r w:rsidRPr="007F50E2">
        <w:rPr>
          <w:rFonts w:ascii="Candara" w:hAnsi="Candara"/>
          <w:sz w:val="24"/>
          <w:szCs w:val="24"/>
          <w:lang w:val="es-MX"/>
        </w:rPr>
        <w:t>(Millones de US$)</w:t>
      </w:r>
    </w:p>
    <w:p w:rsidR="007D580D" w:rsidRDefault="00585D52" w:rsidP="00EB18F9">
      <w:pPr>
        <w:jc w:val="center"/>
        <w:rPr>
          <w:rFonts w:ascii="Candara" w:hAnsi="Candara"/>
          <w:sz w:val="24"/>
          <w:szCs w:val="24"/>
          <w:lang w:val="es-MX"/>
        </w:rPr>
      </w:pPr>
      <w:r w:rsidRPr="00585D52">
        <w:rPr>
          <w:noProof/>
        </w:rPr>
        <w:drawing>
          <wp:inline distT="0" distB="0" distL="0" distR="0" wp14:anchorId="1DD2FB80" wp14:editId="7586A2A3">
            <wp:extent cx="5093589" cy="305275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15529" cy="3065901"/>
                    </a:xfrm>
                    <a:prstGeom prst="rect">
                      <a:avLst/>
                    </a:prstGeom>
                    <a:noFill/>
                    <a:ln>
                      <a:noFill/>
                    </a:ln>
                  </pic:spPr>
                </pic:pic>
              </a:graphicData>
            </a:graphic>
          </wp:inline>
        </w:drawing>
      </w:r>
    </w:p>
    <w:p w:rsidR="00456CE0" w:rsidRPr="00080493" w:rsidRDefault="00456CE0" w:rsidP="00EB18F9">
      <w:pPr>
        <w:jc w:val="center"/>
        <w:rPr>
          <w:rFonts w:ascii="Candara" w:hAnsi="Candara"/>
          <w:sz w:val="16"/>
          <w:szCs w:val="16"/>
          <w:lang w:val="es-MX"/>
        </w:rPr>
      </w:pPr>
    </w:p>
    <w:p w:rsidR="00BE54F5" w:rsidRPr="003454B9" w:rsidRDefault="005537E5" w:rsidP="00080493">
      <w:pPr>
        <w:pStyle w:val="Heading2"/>
        <w:spacing w:before="0"/>
        <w:rPr>
          <w:rFonts w:ascii="Candara" w:hAnsi="Candara"/>
          <w:b/>
          <w:lang w:val="es-MX"/>
        </w:rPr>
      </w:pPr>
      <w:bookmarkStart w:id="68" w:name="_Toc411843467"/>
      <w:bookmarkStart w:id="69" w:name="_Toc505951458"/>
      <w:r w:rsidRPr="007F50E2">
        <w:rPr>
          <w:rFonts w:ascii="Candara" w:hAnsi="Candara"/>
          <w:sz w:val="24"/>
          <w:szCs w:val="24"/>
          <w:lang w:val="es-MX"/>
        </w:rPr>
        <w:t xml:space="preserve"> </w:t>
      </w:r>
      <w:bookmarkStart w:id="70" w:name="_Toc56581221"/>
      <w:bookmarkStart w:id="71" w:name="_Toc64531484"/>
      <w:r w:rsidR="00AA7D08" w:rsidRPr="003454B9">
        <w:rPr>
          <w:rFonts w:ascii="Candara" w:hAnsi="Candara"/>
          <w:b/>
          <w:lang w:val="es-MX"/>
        </w:rPr>
        <w:t>4</w:t>
      </w:r>
      <w:r w:rsidR="009B117C" w:rsidRPr="003454B9">
        <w:rPr>
          <w:rFonts w:ascii="Candara" w:hAnsi="Candara"/>
          <w:b/>
          <w:lang w:val="es-MX"/>
        </w:rPr>
        <w:t xml:space="preserve">. </w:t>
      </w:r>
      <w:r w:rsidR="00D752AF" w:rsidRPr="003454B9">
        <w:rPr>
          <w:rFonts w:ascii="Candara" w:hAnsi="Candara"/>
          <w:b/>
          <w:lang w:val="es-MX"/>
        </w:rPr>
        <w:t>R</w:t>
      </w:r>
      <w:r w:rsidR="00BE54F5" w:rsidRPr="003454B9">
        <w:rPr>
          <w:rFonts w:ascii="Candara" w:hAnsi="Candara"/>
          <w:b/>
          <w:lang w:val="es-MX"/>
        </w:rPr>
        <w:t>esultados</w:t>
      </w:r>
      <w:bookmarkEnd w:id="68"/>
      <w:r w:rsidR="00C20E39" w:rsidRPr="003454B9">
        <w:rPr>
          <w:rFonts w:ascii="Candara" w:hAnsi="Candara"/>
          <w:b/>
          <w:lang w:val="es-MX"/>
        </w:rPr>
        <w:t xml:space="preserve"> Globales del SPNF</w:t>
      </w:r>
      <w:bookmarkEnd w:id="69"/>
      <w:bookmarkEnd w:id="70"/>
      <w:r w:rsidR="00404593">
        <w:rPr>
          <w:rFonts w:ascii="Candara" w:hAnsi="Candara"/>
          <w:b/>
          <w:lang w:val="es-MX"/>
        </w:rPr>
        <w:t xml:space="preserve"> (ver anexo 1 y 2)</w:t>
      </w:r>
      <w:bookmarkEnd w:id="71"/>
    </w:p>
    <w:p w:rsidR="009B117C" w:rsidRPr="00745752" w:rsidRDefault="00442DE5" w:rsidP="003454B9">
      <w:pPr>
        <w:pStyle w:val="Heading3"/>
        <w:rPr>
          <w:rFonts w:ascii="Candara" w:hAnsi="Candara"/>
          <w:b/>
          <w:sz w:val="16"/>
          <w:szCs w:val="16"/>
          <w:lang w:val="es-MX"/>
        </w:rPr>
      </w:pPr>
      <w:bookmarkStart w:id="72" w:name="_Toc411843468"/>
      <w:r w:rsidRPr="003454B9">
        <w:rPr>
          <w:rFonts w:ascii="Candara" w:hAnsi="Candara"/>
          <w:b/>
          <w:lang w:val="es-MX"/>
        </w:rPr>
        <w:t xml:space="preserve"> </w:t>
      </w:r>
    </w:p>
    <w:p w:rsidR="00BE54F5" w:rsidRPr="003454B9" w:rsidRDefault="00AA7D08" w:rsidP="003454B9">
      <w:pPr>
        <w:pStyle w:val="Heading3"/>
        <w:rPr>
          <w:rFonts w:ascii="Candara" w:hAnsi="Candara"/>
          <w:b/>
          <w:lang w:val="es-MX"/>
        </w:rPr>
      </w:pPr>
      <w:bookmarkStart w:id="73" w:name="_Toc56581222"/>
      <w:bookmarkStart w:id="74" w:name="_Toc64531485"/>
      <w:r w:rsidRPr="003454B9">
        <w:rPr>
          <w:rFonts w:ascii="Candara" w:hAnsi="Candara"/>
          <w:b/>
          <w:lang w:val="es-MX"/>
        </w:rPr>
        <w:t>4.1</w:t>
      </w:r>
      <w:r w:rsidR="009B117C" w:rsidRPr="003454B9">
        <w:rPr>
          <w:rFonts w:ascii="Candara" w:hAnsi="Candara"/>
          <w:b/>
          <w:lang w:val="es-MX"/>
        </w:rPr>
        <w:t xml:space="preserve"> </w:t>
      </w:r>
      <w:r w:rsidR="00BE54F5" w:rsidRPr="003454B9">
        <w:rPr>
          <w:rFonts w:ascii="Candara" w:hAnsi="Candara"/>
          <w:b/>
          <w:lang w:val="es-MX"/>
        </w:rPr>
        <w:t>Ahorro corriente</w:t>
      </w:r>
      <w:bookmarkEnd w:id="72"/>
      <w:bookmarkEnd w:id="73"/>
      <w:bookmarkEnd w:id="74"/>
    </w:p>
    <w:p w:rsidR="00BE54F5" w:rsidRPr="00080493" w:rsidRDefault="00BE54F5" w:rsidP="00DC07AD">
      <w:pPr>
        <w:jc w:val="both"/>
        <w:rPr>
          <w:rFonts w:ascii="Candara" w:hAnsi="Candara"/>
          <w:sz w:val="16"/>
          <w:szCs w:val="16"/>
          <w:lang w:val="es-MX"/>
        </w:rPr>
      </w:pPr>
    </w:p>
    <w:p w:rsidR="00DD3F45" w:rsidRPr="007F50E2" w:rsidRDefault="00BE54F5" w:rsidP="00BE54F5">
      <w:pPr>
        <w:jc w:val="both"/>
        <w:rPr>
          <w:rFonts w:ascii="Candara" w:hAnsi="Candara"/>
          <w:sz w:val="24"/>
          <w:szCs w:val="24"/>
          <w:lang w:val="es-MX"/>
        </w:rPr>
      </w:pPr>
      <w:r w:rsidRPr="007F50E2">
        <w:rPr>
          <w:rFonts w:ascii="Candara" w:hAnsi="Candara"/>
          <w:sz w:val="24"/>
          <w:szCs w:val="24"/>
          <w:lang w:val="es-MX"/>
        </w:rPr>
        <w:t xml:space="preserve">El ahorro corriente del SPNF </w:t>
      </w:r>
      <w:r w:rsidR="005767D6">
        <w:rPr>
          <w:rFonts w:ascii="Candara" w:hAnsi="Candara"/>
          <w:sz w:val="24"/>
          <w:szCs w:val="24"/>
          <w:lang w:val="es-MX"/>
        </w:rPr>
        <w:t xml:space="preserve">a </w:t>
      </w:r>
      <w:r w:rsidR="006854AC">
        <w:rPr>
          <w:rFonts w:ascii="Candara" w:hAnsi="Candara"/>
          <w:sz w:val="24"/>
          <w:szCs w:val="24"/>
          <w:lang w:val="es-MX"/>
        </w:rPr>
        <w:t>diciembre</w:t>
      </w:r>
      <w:r w:rsidR="005767D6">
        <w:rPr>
          <w:rFonts w:ascii="Candara" w:hAnsi="Candara"/>
          <w:sz w:val="24"/>
          <w:szCs w:val="24"/>
          <w:lang w:val="es-MX"/>
        </w:rPr>
        <w:t xml:space="preserve"> </w:t>
      </w:r>
      <w:r w:rsidR="00042C94">
        <w:rPr>
          <w:rFonts w:ascii="Candara" w:hAnsi="Candara"/>
          <w:sz w:val="24"/>
          <w:szCs w:val="24"/>
          <w:lang w:val="es-MX"/>
        </w:rPr>
        <w:t>2020</w:t>
      </w:r>
      <w:r w:rsidR="0006124F" w:rsidRPr="007F50E2">
        <w:rPr>
          <w:rFonts w:ascii="Candara" w:hAnsi="Candara"/>
          <w:sz w:val="24"/>
          <w:szCs w:val="24"/>
          <w:lang w:val="es-MX"/>
        </w:rPr>
        <w:t xml:space="preserve"> </w:t>
      </w:r>
      <w:r w:rsidRPr="007F50E2">
        <w:rPr>
          <w:rFonts w:ascii="Candara" w:hAnsi="Candara"/>
          <w:sz w:val="24"/>
          <w:szCs w:val="24"/>
          <w:lang w:val="es-MX"/>
        </w:rPr>
        <w:t xml:space="preserve">fue de </w:t>
      </w:r>
      <w:r w:rsidR="00DA0E6F">
        <w:rPr>
          <w:rFonts w:ascii="Candara" w:hAnsi="Candara"/>
          <w:sz w:val="24"/>
          <w:szCs w:val="24"/>
          <w:lang w:val="es-MX"/>
        </w:rPr>
        <w:t>-</w:t>
      </w:r>
      <w:r w:rsidRPr="007F50E2">
        <w:rPr>
          <w:rFonts w:ascii="Candara" w:hAnsi="Candara"/>
          <w:sz w:val="24"/>
          <w:szCs w:val="24"/>
          <w:lang w:val="es-MX"/>
        </w:rPr>
        <w:t>$</w:t>
      </w:r>
      <w:r w:rsidR="00137776">
        <w:rPr>
          <w:rFonts w:ascii="Candara" w:hAnsi="Candara"/>
          <w:sz w:val="24"/>
          <w:szCs w:val="24"/>
          <w:lang w:val="es-MX"/>
        </w:rPr>
        <w:t>1</w:t>
      </w:r>
      <w:r w:rsidR="00055088">
        <w:rPr>
          <w:rFonts w:ascii="Candara" w:hAnsi="Candara"/>
          <w:sz w:val="24"/>
          <w:szCs w:val="24"/>
          <w:lang w:val="es-MX"/>
        </w:rPr>
        <w:t>,</w:t>
      </w:r>
      <w:r w:rsidR="007A7428">
        <w:rPr>
          <w:rFonts w:ascii="Candara" w:hAnsi="Candara"/>
          <w:sz w:val="24"/>
          <w:szCs w:val="24"/>
          <w:lang w:val="es-MX"/>
        </w:rPr>
        <w:t>1</w:t>
      </w:r>
      <w:r w:rsidR="00C01835">
        <w:rPr>
          <w:rFonts w:ascii="Candara" w:hAnsi="Candara"/>
          <w:sz w:val="24"/>
          <w:szCs w:val="24"/>
          <w:lang w:val="es-MX"/>
        </w:rPr>
        <w:t>76.1</w:t>
      </w:r>
      <w:r w:rsidRPr="007F50E2">
        <w:rPr>
          <w:rFonts w:ascii="Candara" w:hAnsi="Candara"/>
          <w:sz w:val="24"/>
          <w:szCs w:val="24"/>
          <w:lang w:val="es-MX"/>
        </w:rPr>
        <w:t xml:space="preserve"> millones, </w:t>
      </w:r>
      <w:r w:rsidR="00A014D8" w:rsidRPr="007F50E2">
        <w:rPr>
          <w:rFonts w:ascii="Candara" w:hAnsi="Candara"/>
          <w:sz w:val="24"/>
          <w:szCs w:val="24"/>
          <w:lang w:val="es-MX"/>
        </w:rPr>
        <w:t>m</w:t>
      </w:r>
      <w:r w:rsidR="00DA0E6F">
        <w:rPr>
          <w:rFonts w:ascii="Candara" w:hAnsi="Candara"/>
          <w:sz w:val="24"/>
          <w:szCs w:val="24"/>
          <w:lang w:val="es-MX"/>
        </w:rPr>
        <w:t>enor</w:t>
      </w:r>
      <w:r w:rsidR="00F12D56" w:rsidRPr="007F50E2">
        <w:rPr>
          <w:rFonts w:ascii="Candara" w:hAnsi="Candara"/>
          <w:sz w:val="24"/>
          <w:szCs w:val="24"/>
          <w:lang w:val="es-MX"/>
        </w:rPr>
        <w:t xml:space="preserve"> en </w:t>
      </w:r>
      <w:r w:rsidRPr="007F50E2">
        <w:rPr>
          <w:rFonts w:ascii="Candara" w:hAnsi="Candara"/>
          <w:sz w:val="24"/>
          <w:szCs w:val="24"/>
          <w:lang w:val="es-MX"/>
        </w:rPr>
        <w:t>$</w:t>
      </w:r>
      <w:r w:rsidR="007A7428">
        <w:rPr>
          <w:rFonts w:ascii="Candara" w:hAnsi="Candara"/>
          <w:sz w:val="24"/>
          <w:szCs w:val="24"/>
          <w:lang w:val="es-MX"/>
        </w:rPr>
        <w:t>1,4</w:t>
      </w:r>
      <w:r w:rsidR="00C01835">
        <w:rPr>
          <w:rFonts w:ascii="Candara" w:hAnsi="Candara"/>
          <w:sz w:val="24"/>
          <w:szCs w:val="24"/>
          <w:lang w:val="es-MX"/>
        </w:rPr>
        <w:t>46.8</w:t>
      </w:r>
      <w:r w:rsidRPr="007F50E2">
        <w:rPr>
          <w:rFonts w:ascii="Candara" w:hAnsi="Candara"/>
          <w:sz w:val="24"/>
          <w:szCs w:val="24"/>
          <w:lang w:val="es-MX"/>
        </w:rPr>
        <w:t xml:space="preserve"> millones al obtenido en </w:t>
      </w:r>
      <w:r w:rsidR="006854AC">
        <w:rPr>
          <w:rFonts w:ascii="Candara" w:hAnsi="Candara"/>
          <w:sz w:val="24"/>
          <w:szCs w:val="24"/>
          <w:lang w:val="es-MX"/>
        </w:rPr>
        <w:t>diciembre</w:t>
      </w:r>
      <w:r w:rsidR="00F12D56" w:rsidRPr="007F50E2">
        <w:rPr>
          <w:rFonts w:ascii="Candara" w:hAnsi="Candara"/>
          <w:sz w:val="24"/>
          <w:szCs w:val="24"/>
          <w:lang w:val="es-MX"/>
        </w:rPr>
        <w:t xml:space="preserve"> </w:t>
      </w:r>
      <w:r w:rsidR="00042C94">
        <w:rPr>
          <w:rFonts w:ascii="Candara" w:hAnsi="Candara"/>
          <w:sz w:val="24"/>
          <w:szCs w:val="24"/>
          <w:lang w:val="es-MX"/>
        </w:rPr>
        <w:t>2019</w:t>
      </w:r>
      <w:r w:rsidRPr="007F50E2">
        <w:rPr>
          <w:rFonts w:ascii="Candara" w:hAnsi="Candara"/>
          <w:sz w:val="24"/>
          <w:szCs w:val="24"/>
          <w:lang w:val="es-MX"/>
        </w:rPr>
        <w:t xml:space="preserve">, producto </w:t>
      </w:r>
      <w:r w:rsidR="00137776">
        <w:rPr>
          <w:rFonts w:ascii="Candara" w:hAnsi="Candara"/>
          <w:sz w:val="24"/>
          <w:szCs w:val="24"/>
          <w:lang w:val="es-MX"/>
        </w:rPr>
        <w:t xml:space="preserve">del incremento del gasto corriente, </w:t>
      </w:r>
      <w:r w:rsidR="007F50D2">
        <w:rPr>
          <w:rFonts w:ascii="Candara" w:hAnsi="Candara"/>
          <w:sz w:val="24"/>
          <w:szCs w:val="24"/>
          <w:lang w:val="es-MX"/>
        </w:rPr>
        <w:t>principal</w:t>
      </w:r>
      <w:r w:rsidR="007E6906">
        <w:rPr>
          <w:rFonts w:ascii="Candara" w:hAnsi="Candara"/>
          <w:sz w:val="24"/>
          <w:szCs w:val="24"/>
          <w:lang w:val="es-MX"/>
        </w:rPr>
        <w:t>m</w:t>
      </w:r>
      <w:r w:rsidR="00063635" w:rsidRPr="007F50E2">
        <w:rPr>
          <w:rFonts w:ascii="Candara" w:hAnsi="Candara"/>
          <w:sz w:val="24"/>
          <w:szCs w:val="24"/>
          <w:lang w:val="es-MX"/>
        </w:rPr>
        <w:t xml:space="preserve">ente de </w:t>
      </w:r>
      <w:r w:rsidR="00DA0E6F">
        <w:rPr>
          <w:rFonts w:ascii="Candara" w:hAnsi="Candara"/>
          <w:sz w:val="24"/>
          <w:szCs w:val="24"/>
          <w:lang w:val="es-MX"/>
        </w:rPr>
        <w:t xml:space="preserve">la </w:t>
      </w:r>
      <w:r w:rsidR="007F50D2">
        <w:rPr>
          <w:rFonts w:ascii="Candara" w:hAnsi="Candara"/>
          <w:sz w:val="24"/>
          <w:szCs w:val="24"/>
          <w:lang w:val="es-MX"/>
        </w:rPr>
        <w:t xml:space="preserve">compensación económica </w:t>
      </w:r>
      <w:r w:rsidR="00DA0E6F">
        <w:rPr>
          <w:rFonts w:ascii="Candara" w:hAnsi="Candara"/>
          <w:sz w:val="24"/>
          <w:szCs w:val="24"/>
          <w:lang w:val="es-MX"/>
        </w:rPr>
        <w:t>otorgad</w:t>
      </w:r>
      <w:r w:rsidR="007F50D2">
        <w:rPr>
          <w:rFonts w:ascii="Candara" w:hAnsi="Candara"/>
          <w:sz w:val="24"/>
          <w:szCs w:val="24"/>
          <w:lang w:val="es-MX"/>
        </w:rPr>
        <w:t>a</w:t>
      </w:r>
      <w:r w:rsidR="00DA0E6F">
        <w:rPr>
          <w:rFonts w:ascii="Candara" w:hAnsi="Candara"/>
          <w:sz w:val="24"/>
          <w:szCs w:val="24"/>
          <w:lang w:val="es-MX"/>
        </w:rPr>
        <w:t xml:space="preserve"> a </w:t>
      </w:r>
      <w:r w:rsidR="007F50D2">
        <w:rPr>
          <w:rFonts w:ascii="Candara" w:hAnsi="Candara"/>
          <w:sz w:val="24"/>
          <w:szCs w:val="24"/>
          <w:lang w:val="es-MX"/>
        </w:rPr>
        <w:t xml:space="preserve">los </w:t>
      </w:r>
      <w:r w:rsidR="00DA0E6F">
        <w:rPr>
          <w:rFonts w:ascii="Candara" w:hAnsi="Candara"/>
          <w:sz w:val="24"/>
          <w:szCs w:val="24"/>
          <w:lang w:val="es-MX"/>
        </w:rPr>
        <w:t>hogares de $300.0</w:t>
      </w:r>
      <w:r w:rsidR="00137776">
        <w:rPr>
          <w:rFonts w:ascii="Candara" w:hAnsi="Candara"/>
          <w:sz w:val="24"/>
          <w:szCs w:val="24"/>
          <w:lang w:val="es-MX"/>
        </w:rPr>
        <w:t>, cestas alimenticias y la compra de insumos médicos, para atender al sistema hospitalario como consecuencia de la pandemia</w:t>
      </w:r>
      <w:r w:rsidR="007E6906">
        <w:rPr>
          <w:rFonts w:ascii="Candara" w:hAnsi="Candara"/>
          <w:sz w:val="24"/>
          <w:szCs w:val="24"/>
          <w:lang w:val="es-MX"/>
        </w:rPr>
        <w:t xml:space="preserve">. </w:t>
      </w:r>
      <w:r w:rsidRPr="007F50E2">
        <w:rPr>
          <w:rFonts w:ascii="Candara" w:hAnsi="Candara"/>
          <w:sz w:val="24"/>
          <w:szCs w:val="24"/>
          <w:lang w:val="es-MX"/>
        </w:rPr>
        <w:t xml:space="preserve">En términos del PIB </w:t>
      </w:r>
      <w:r w:rsidR="002F28DF" w:rsidRPr="007F50E2">
        <w:rPr>
          <w:rFonts w:ascii="Candara" w:hAnsi="Candara"/>
          <w:sz w:val="24"/>
          <w:szCs w:val="24"/>
          <w:lang w:val="es-MX"/>
        </w:rPr>
        <w:t xml:space="preserve">el ahorro corriente </w:t>
      </w:r>
      <w:r w:rsidRPr="007F50E2">
        <w:rPr>
          <w:rFonts w:ascii="Candara" w:hAnsi="Candara"/>
          <w:sz w:val="24"/>
          <w:szCs w:val="24"/>
          <w:lang w:val="es-MX"/>
        </w:rPr>
        <w:t>fue equivalente a</w:t>
      </w:r>
      <w:r w:rsidR="00E6182C">
        <w:rPr>
          <w:rFonts w:ascii="Candara" w:hAnsi="Candara"/>
          <w:sz w:val="24"/>
          <w:szCs w:val="24"/>
          <w:lang w:val="es-MX"/>
        </w:rPr>
        <w:t xml:space="preserve"> </w:t>
      </w:r>
      <w:r w:rsidR="007F50D2">
        <w:rPr>
          <w:rFonts w:ascii="Candara" w:hAnsi="Candara"/>
          <w:sz w:val="24"/>
          <w:szCs w:val="24"/>
          <w:lang w:val="es-MX"/>
        </w:rPr>
        <w:t>-</w:t>
      </w:r>
      <w:r w:rsidR="007A7428">
        <w:rPr>
          <w:rFonts w:ascii="Candara" w:hAnsi="Candara"/>
          <w:sz w:val="24"/>
          <w:szCs w:val="24"/>
          <w:lang w:val="es-MX"/>
        </w:rPr>
        <w:t>4.7</w:t>
      </w:r>
      <w:r w:rsidRPr="007F50E2">
        <w:rPr>
          <w:rFonts w:ascii="Candara" w:hAnsi="Candara"/>
          <w:sz w:val="24"/>
          <w:szCs w:val="24"/>
          <w:lang w:val="es-MX"/>
        </w:rPr>
        <w:t>%.</w:t>
      </w:r>
    </w:p>
    <w:p w:rsidR="00002A15" w:rsidRPr="00080493" w:rsidRDefault="00002A15" w:rsidP="00386BC0">
      <w:pPr>
        <w:jc w:val="center"/>
        <w:rPr>
          <w:rFonts w:ascii="Candara" w:hAnsi="Candara"/>
          <w:sz w:val="16"/>
          <w:szCs w:val="16"/>
          <w:lang w:val="es-MX"/>
        </w:rPr>
      </w:pPr>
    </w:p>
    <w:p w:rsidR="00A70596" w:rsidRPr="007F50E2" w:rsidRDefault="00A70596" w:rsidP="00386BC0">
      <w:pPr>
        <w:jc w:val="center"/>
        <w:rPr>
          <w:rFonts w:ascii="Candara" w:hAnsi="Candara"/>
          <w:sz w:val="24"/>
          <w:szCs w:val="24"/>
          <w:lang w:val="es-MX"/>
        </w:rPr>
      </w:pPr>
      <w:r w:rsidRPr="007F50E2">
        <w:rPr>
          <w:rFonts w:ascii="Candara" w:hAnsi="Candara"/>
          <w:sz w:val="24"/>
          <w:szCs w:val="24"/>
          <w:lang w:val="es-MX"/>
        </w:rPr>
        <w:t xml:space="preserve">Gráfico </w:t>
      </w:r>
      <w:r w:rsidR="0054677B" w:rsidRPr="007F50E2">
        <w:rPr>
          <w:rFonts w:ascii="Candara" w:hAnsi="Candara"/>
          <w:sz w:val="24"/>
          <w:szCs w:val="24"/>
          <w:lang w:val="es-MX"/>
        </w:rPr>
        <w:t>1</w:t>
      </w:r>
      <w:r w:rsidR="006B57E8">
        <w:rPr>
          <w:rFonts w:ascii="Candara" w:hAnsi="Candara"/>
          <w:sz w:val="24"/>
          <w:szCs w:val="24"/>
          <w:lang w:val="es-MX"/>
        </w:rPr>
        <w:t>1</w:t>
      </w:r>
      <w:r w:rsidRPr="007F50E2">
        <w:rPr>
          <w:rFonts w:ascii="Candara" w:hAnsi="Candara"/>
          <w:sz w:val="24"/>
          <w:szCs w:val="24"/>
          <w:lang w:val="es-MX"/>
        </w:rPr>
        <w:t>:</w:t>
      </w:r>
      <w:r w:rsidR="00386BC0" w:rsidRPr="007F50E2">
        <w:rPr>
          <w:rFonts w:ascii="Candara" w:hAnsi="Candara"/>
          <w:sz w:val="24"/>
          <w:szCs w:val="24"/>
          <w:lang w:val="es-MX"/>
        </w:rPr>
        <w:t xml:space="preserve"> </w:t>
      </w:r>
      <w:r w:rsidRPr="007F50E2">
        <w:rPr>
          <w:rFonts w:ascii="Candara" w:hAnsi="Candara"/>
          <w:sz w:val="24"/>
          <w:szCs w:val="24"/>
          <w:lang w:val="es-MX"/>
        </w:rPr>
        <w:t xml:space="preserve">Ahorro corriente del SPNF a </w:t>
      </w:r>
      <w:r w:rsidR="006854AC">
        <w:rPr>
          <w:rFonts w:ascii="Candara" w:hAnsi="Candara"/>
          <w:sz w:val="24"/>
          <w:szCs w:val="24"/>
          <w:lang w:val="es-MX"/>
        </w:rPr>
        <w:t>diciembre</w:t>
      </w:r>
      <w:r w:rsidR="00A220FF" w:rsidRPr="007F50E2">
        <w:rPr>
          <w:rFonts w:ascii="Candara" w:hAnsi="Candara"/>
          <w:sz w:val="24"/>
          <w:szCs w:val="24"/>
          <w:lang w:val="es-MX"/>
        </w:rPr>
        <w:t xml:space="preserve"> </w:t>
      </w:r>
      <w:r w:rsidRPr="007F50E2">
        <w:rPr>
          <w:rFonts w:ascii="Candara" w:hAnsi="Candara"/>
          <w:sz w:val="24"/>
          <w:szCs w:val="24"/>
          <w:lang w:val="es-MX"/>
        </w:rPr>
        <w:t>20</w:t>
      </w:r>
      <w:r w:rsidR="00B80A8E">
        <w:rPr>
          <w:rFonts w:ascii="Candara" w:hAnsi="Candara"/>
          <w:sz w:val="24"/>
          <w:szCs w:val="24"/>
          <w:lang w:val="es-MX"/>
        </w:rPr>
        <w:t>14</w:t>
      </w:r>
      <w:r w:rsidR="00A220FF" w:rsidRPr="007F50E2">
        <w:rPr>
          <w:rFonts w:ascii="Candara" w:hAnsi="Candara"/>
          <w:sz w:val="24"/>
          <w:szCs w:val="24"/>
          <w:lang w:val="es-MX"/>
        </w:rPr>
        <w:t xml:space="preserve"> </w:t>
      </w:r>
      <w:r w:rsidRPr="007F50E2">
        <w:rPr>
          <w:rFonts w:ascii="Candara" w:hAnsi="Candara"/>
          <w:sz w:val="24"/>
          <w:szCs w:val="24"/>
          <w:lang w:val="es-MX"/>
        </w:rPr>
        <w:t>-20</w:t>
      </w:r>
      <w:r w:rsidR="00B80A8E">
        <w:rPr>
          <w:rFonts w:ascii="Candara" w:hAnsi="Candara"/>
          <w:sz w:val="24"/>
          <w:szCs w:val="24"/>
          <w:lang w:val="es-MX"/>
        </w:rPr>
        <w:t>20</w:t>
      </w:r>
    </w:p>
    <w:p w:rsidR="00A70596" w:rsidRPr="00080493" w:rsidRDefault="00A70596" w:rsidP="00B80A8E">
      <w:pPr>
        <w:jc w:val="center"/>
        <w:rPr>
          <w:rFonts w:ascii="Candara" w:hAnsi="Candara"/>
          <w:sz w:val="16"/>
          <w:szCs w:val="16"/>
          <w:lang w:val="es-MX"/>
        </w:rPr>
      </w:pPr>
    </w:p>
    <w:p w:rsidR="002F3FB5" w:rsidRDefault="002F3FB5" w:rsidP="006079A6">
      <w:pPr>
        <w:jc w:val="center"/>
        <w:rPr>
          <w:rFonts w:ascii="Candara" w:hAnsi="Candara"/>
          <w:sz w:val="24"/>
          <w:szCs w:val="24"/>
          <w:lang w:val="es-MX"/>
        </w:rPr>
      </w:pPr>
    </w:p>
    <w:p w:rsidR="00E6182C" w:rsidRDefault="00C17B7C" w:rsidP="006079A6">
      <w:pPr>
        <w:jc w:val="center"/>
        <w:rPr>
          <w:rFonts w:ascii="Candara" w:hAnsi="Candara"/>
          <w:sz w:val="24"/>
          <w:szCs w:val="24"/>
          <w:lang w:val="es-MX"/>
        </w:rPr>
      </w:pPr>
      <w:r w:rsidRPr="00C17B7C">
        <w:rPr>
          <w:noProof/>
        </w:rPr>
        <w:drawing>
          <wp:inline distT="0" distB="0" distL="0" distR="0" wp14:anchorId="44499557" wp14:editId="2BCA996B">
            <wp:extent cx="4618355" cy="2473960"/>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8355" cy="2473960"/>
                    </a:xfrm>
                    <a:prstGeom prst="rect">
                      <a:avLst/>
                    </a:prstGeom>
                    <a:noFill/>
                    <a:ln>
                      <a:noFill/>
                    </a:ln>
                  </pic:spPr>
                </pic:pic>
              </a:graphicData>
            </a:graphic>
          </wp:inline>
        </w:drawing>
      </w:r>
    </w:p>
    <w:p w:rsidR="00BE54F5" w:rsidRPr="003454B9" w:rsidRDefault="00AA7D08" w:rsidP="004423E5">
      <w:pPr>
        <w:pStyle w:val="Heading3"/>
        <w:rPr>
          <w:rFonts w:ascii="Candara" w:hAnsi="Candara"/>
          <w:b/>
          <w:lang w:val="es-MX"/>
        </w:rPr>
      </w:pPr>
      <w:bookmarkStart w:id="75" w:name="_Toc411843469"/>
      <w:bookmarkStart w:id="76" w:name="_Toc56581223"/>
      <w:bookmarkStart w:id="77" w:name="_Toc64531486"/>
      <w:r w:rsidRPr="003454B9">
        <w:rPr>
          <w:rFonts w:ascii="Candara" w:hAnsi="Candara"/>
          <w:b/>
          <w:lang w:val="es-MX"/>
        </w:rPr>
        <w:lastRenderedPageBreak/>
        <w:t>4</w:t>
      </w:r>
      <w:r w:rsidR="009B117C" w:rsidRPr="003454B9">
        <w:rPr>
          <w:rFonts w:ascii="Candara" w:hAnsi="Candara"/>
          <w:b/>
          <w:lang w:val="es-MX"/>
        </w:rPr>
        <w:t>.2</w:t>
      </w:r>
      <w:r w:rsidR="00442DE5" w:rsidRPr="003454B9">
        <w:rPr>
          <w:rFonts w:ascii="Candara" w:hAnsi="Candara"/>
          <w:b/>
          <w:lang w:val="es-MX"/>
        </w:rPr>
        <w:t xml:space="preserve"> </w:t>
      </w:r>
      <w:r w:rsidR="00BE54F5" w:rsidRPr="003454B9">
        <w:rPr>
          <w:rFonts w:ascii="Candara" w:hAnsi="Candara"/>
          <w:b/>
          <w:lang w:val="es-MX"/>
        </w:rPr>
        <w:t>Balance Primario</w:t>
      </w:r>
      <w:bookmarkEnd w:id="75"/>
      <w:bookmarkEnd w:id="76"/>
      <w:bookmarkEnd w:id="77"/>
    </w:p>
    <w:p w:rsidR="00BE54F5" w:rsidRPr="007D580D" w:rsidRDefault="00BE54F5" w:rsidP="00BE54F5">
      <w:pPr>
        <w:jc w:val="both"/>
        <w:rPr>
          <w:rFonts w:ascii="Candara" w:hAnsi="Candara"/>
          <w:sz w:val="16"/>
          <w:szCs w:val="16"/>
          <w:lang w:val="es-MX"/>
        </w:rPr>
      </w:pPr>
    </w:p>
    <w:p w:rsidR="00840A08" w:rsidRPr="007F50E2" w:rsidRDefault="00BE54F5" w:rsidP="00840A08">
      <w:pPr>
        <w:jc w:val="both"/>
        <w:rPr>
          <w:rFonts w:ascii="Candara" w:hAnsi="Candara"/>
          <w:sz w:val="24"/>
          <w:szCs w:val="24"/>
          <w:lang w:val="es-MX"/>
        </w:rPr>
      </w:pPr>
      <w:r w:rsidRPr="007F50E2">
        <w:rPr>
          <w:rFonts w:ascii="Candara" w:hAnsi="Candara"/>
          <w:sz w:val="24"/>
          <w:szCs w:val="24"/>
          <w:lang w:val="es-MX"/>
        </w:rPr>
        <w:t>El balance primario</w:t>
      </w:r>
      <w:r w:rsidR="00C7623F" w:rsidRPr="007F50E2">
        <w:rPr>
          <w:rFonts w:ascii="Candara" w:hAnsi="Candara"/>
          <w:sz w:val="24"/>
          <w:szCs w:val="24"/>
          <w:vertAlign w:val="superscript"/>
          <w:lang w:val="es-MX"/>
        </w:rPr>
        <w:footnoteReference w:id="3"/>
      </w:r>
      <w:r w:rsidRPr="007F50E2">
        <w:rPr>
          <w:rFonts w:ascii="Candara" w:hAnsi="Candara"/>
          <w:sz w:val="24"/>
          <w:szCs w:val="24"/>
          <w:lang w:val="es-MX"/>
        </w:rPr>
        <w:t xml:space="preserve"> </w:t>
      </w:r>
      <w:r w:rsidR="00B96275" w:rsidRPr="007F50E2">
        <w:rPr>
          <w:rFonts w:ascii="Candara" w:hAnsi="Candara"/>
          <w:sz w:val="24"/>
          <w:szCs w:val="24"/>
          <w:lang w:val="es-MX"/>
        </w:rPr>
        <w:t xml:space="preserve">(con pensiones) </w:t>
      </w:r>
      <w:r w:rsidR="005767D6">
        <w:rPr>
          <w:rFonts w:ascii="Candara" w:hAnsi="Candara"/>
          <w:sz w:val="24"/>
          <w:szCs w:val="24"/>
          <w:lang w:val="es-MX"/>
        </w:rPr>
        <w:t xml:space="preserve">a </w:t>
      </w:r>
      <w:r w:rsidR="006854AC">
        <w:rPr>
          <w:rFonts w:ascii="Candara" w:hAnsi="Candara"/>
          <w:sz w:val="24"/>
          <w:szCs w:val="24"/>
          <w:lang w:val="es-MX"/>
        </w:rPr>
        <w:t>diciembre</w:t>
      </w:r>
      <w:r w:rsidR="005767D6">
        <w:rPr>
          <w:rFonts w:ascii="Candara" w:hAnsi="Candara"/>
          <w:sz w:val="24"/>
          <w:szCs w:val="24"/>
          <w:lang w:val="es-MX"/>
        </w:rPr>
        <w:t xml:space="preserve"> </w:t>
      </w:r>
      <w:r w:rsidR="00042C94">
        <w:rPr>
          <w:rFonts w:ascii="Candara" w:hAnsi="Candara"/>
          <w:sz w:val="24"/>
          <w:szCs w:val="24"/>
          <w:lang w:val="es-MX"/>
        </w:rPr>
        <w:t>2020</w:t>
      </w:r>
      <w:r w:rsidR="00741689" w:rsidRPr="007F50E2">
        <w:rPr>
          <w:rFonts w:ascii="Candara" w:hAnsi="Candara"/>
          <w:sz w:val="24"/>
          <w:szCs w:val="24"/>
          <w:lang w:val="es-MX"/>
        </w:rPr>
        <w:t>,</w:t>
      </w:r>
      <w:r w:rsidRPr="007F50E2">
        <w:rPr>
          <w:rFonts w:ascii="Candara" w:hAnsi="Candara"/>
          <w:sz w:val="24"/>
          <w:szCs w:val="24"/>
          <w:lang w:val="es-MX"/>
        </w:rPr>
        <w:t xml:space="preserve"> obtuvo un resultado de </w:t>
      </w:r>
      <w:r w:rsidR="0037505A">
        <w:rPr>
          <w:rFonts w:ascii="Candara" w:hAnsi="Candara"/>
          <w:sz w:val="24"/>
          <w:szCs w:val="24"/>
          <w:lang w:val="es-MX"/>
        </w:rPr>
        <w:t xml:space="preserve">- </w:t>
      </w:r>
      <w:r w:rsidRPr="007F50E2">
        <w:rPr>
          <w:rFonts w:ascii="Candara" w:hAnsi="Candara"/>
          <w:sz w:val="24"/>
          <w:szCs w:val="24"/>
          <w:lang w:val="es-MX"/>
        </w:rPr>
        <w:t>$</w:t>
      </w:r>
      <w:r w:rsidR="00137776">
        <w:rPr>
          <w:rFonts w:ascii="Candara" w:hAnsi="Candara"/>
          <w:sz w:val="24"/>
          <w:szCs w:val="24"/>
          <w:lang w:val="es-MX"/>
        </w:rPr>
        <w:t>1,</w:t>
      </w:r>
      <w:r w:rsidR="007A7428">
        <w:rPr>
          <w:rFonts w:ascii="Candara" w:hAnsi="Candara"/>
          <w:sz w:val="24"/>
          <w:szCs w:val="24"/>
          <w:lang w:val="es-MX"/>
        </w:rPr>
        <w:t>4</w:t>
      </w:r>
      <w:r w:rsidR="00C01835">
        <w:rPr>
          <w:rFonts w:ascii="Candara" w:hAnsi="Candara"/>
          <w:sz w:val="24"/>
          <w:szCs w:val="24"/>
          <w:lang w:val="es-MX"/>
        </w:rPr>
        <w:t>06.9</w:t>
      </w:r>
      <w:r w:rsidR="004E71FF">
        <w:rPr>
          <w:rFonts w:ascii="Candara" w:hAnsi="Candara"/>
          <w:sz w:val="24"/>
          <w:szCs w:val="24"/>
          <w:lang w:val="es-MX"/>
        </w:rPr>
        <w:t xml:space="preserve"> </w:t>
      </w:r>
      <w:r w:rsidRPr="007F50E2">
        <w:rPr>
          <w:rFonts w:ascii="Candara" w:hAnsi="Candara"/>
          <w:sz w:val="24"/>
          <w:szCs w:val="24"/>
          <w:lang w:val="es-MX"/>
        </w:rPr>
        <w:t>millones</w:t>
      </w:r>
      <w:r w:rsidR="00B96275" w:rsidRPr="007F50E2">
        <w:rPr>
          <w:rFonts w:ascii="Candara" w:hAnsi="Candara"/>
          <w:sz w:val="24"/>
          <w:szCs w:val="24"/>
          <w:lang w:val="es-MX"/>
        </w:rPr>
        <w:t>,</w:t>
      </w:r>
      <w:r w:rsidRPr="007F50E2">
        <w:rPr>
          <w:rFonts w:ascii="Candara" w:hAnsi="Candara"/>
          <w:sz w:val="24"/>
          <w:szCs w:val="24"/>
          <w:lang w:val="es-MX"/>
        </w:rPr>
        <w:t xml:space="preserve"> </w:t>
      </w:r>
      <w:r w:rsidR="00063635" w:rsidRPr="007F50E2">
        <w:rPr>
          <w:rFonts w:ascii="Candara" w:hAnsi="Candara"/>
          <w:sz w:val="24"/>
          <w:szCs w:val="24"/>
          <w:lang w:val="es-MX"/>
        </w:rPr>
        <w:t xml:space="preserve">siendo </w:t>
      </w:r>
      <w:r w:rsidR="00A014D8" w:rsidRPr="007F50E2">
        <w:rPr>
          <w:rFonts w:ascii="Candara" w:hAnsi="Candara"/>
          <w:sz w:val="24"/>
          <w:szCs w:val="24"/>
          <w:lang w:val="es-MX"/>
        </w:rPr>
        <w:t>m</w:t>
      </w:r>
      <w:r w:rsidR="004E71FF">
        <w:rPr>
          <w:rFonts w:ascii="Candara" w:hAnsi="Candara"/>
          <w:sz w:val="24"/>
          <w:szCs w:val="24"/>
          <w:lang w:val="es-MX"/>
        </w:rPr>
        <w:t>enor</w:t>
      </w:r>
      <w:r w:rsidR="001D7D68">
        <w:rPr>
          <w:rFonts w:ascii="Candara" w:hAnsi="Candara"/>
          <w:sz w:val="24"/>
          <w:szCs w:val="24"/>
          <w:lang w:val="es-MX"/>
        </w:rPr>
        <w:t xml:space="preserve"> en $</w:t>
      </w:r>
      <w:r w:rsidR="00137776">
        <w:rPr>
          <w:rFonts w:ascii="Candara" w:hAnsi="Candara"/>
          <w:sz w:val="24"/>
          <w:szCs w:val="24"/>
          <w:lang w:val="es-MX"/>
        </w:rPr>
        <w:t>1,</w:t>
      </w:r>
      <w:r w:rsidR="007A7428">
        <w:rPr>
          <w:rFonts w:ascii="Candara" w:hAnsi="Candara"/>
          <w:sz w:val="24"/>
          <w:szCs w:val="24"/>
          <w:lang w:val="es-MX"/>
        </w:rPr>
        <w:t>5</w:t>
      </w:r>
      <w:r w:rsidR="00C01835">
        <w:rPr>
          <w:rFonts w:ascii="Candara" w:hAnsi="Candara"/>
          <w:sz w:val="24"/>
          <w:szCs w:val="24"/>
          <w:lang w:val="es-MX"/>
        </w:rPr>
        <w:t>80.5</w:t>
      </w:r>
      <w:r w:rsidR="00063635" w:rsidRPr="007F50E2">
        <w:rPr>
          <w:rFonts w:ascii="Candara" w:hAnsi="Candara"/>
          <w:sz w:val="24"/>
          <w:szCs w:val="24"/>
          <w:lang w:val="es-MX"/>
        </w:rPr>
        <w:t xml:space="preserve"> </w:t>
      </w:r>
      <w:r w:rsidR="001D7D68">
        <w:rPr>
          <w:rFonts w:ascii="Candara" w:hAnsi="Candara"/>
          <w:sz w:val="24"/>
          <w:szCs w:val="24"/>
          <w:lang w:val="es-MX"/>
        </w:rPr>
        <w:t xml:space="preserve">millones respecto al superávit </w:t>
      </w:r>
      <w:r w:rsidR="004B1AD2">
        <w:rPr>
          <w:rFonts w:ascii="Candara" w:hAnsi="Candara"/>
          <w:sz w:val="24"/>
          <w:szCs w:val="24"/>
          <w:lang w:val="es-MX"/>
        </w:rPr>
        <w:t>obtenido a</w:t>
      </w:r>
      <w:r w:rsidR="00063635" w:rsidRPr="007F50E2">
        <w:rPr>
          <w:rFonts w:ascii="Candara" w:hAnsi="Candara"/>
          <w:sz w:val="24"/>
          <w:szCs w:val="24"/>
          <w:lang w:val="es-MX"/>
        </w:rPr>
        <w:t xml:space="preserve"> </w:t>
      </w:r>
      <w:r w:rsidR="006854AC">
        <w:rPr>
          <w:rFonts w:ascii="Candara" w:hAnsi="Candara"/>
          <w:sz w:val="24"/>
          <w:szCs w:val="24"/>
          <w:lang w:val="es-MX"/>
        </w:rPr>
        <w:t>diciembre</w:t>
      </w:r>
      <w:r w:rsidR="00063635" w:rsidRPr="007F50E2">
        <w:rPr>
          <w:rFonts w:ascii="Candara" w:hAnsi="Candara"/>
          <w:sz w:val="24"/>
          <w:szCs w:val="24"/>
          <w:lang w:val="es-MX"/>
        </w:rPr>
        <w:t xml:space="preserve"> </w:t>
      </w:r>
      <w:r w:rsidR="00042C94">
        <w:rPr>
          <w:rFonts w:ascii="Candara" w:hAnsi="Candara"/>
          <w:sz w:val="24"/>
          <w:szCs w:val="24"/>
          <w:lang w:val="es-MX"/>
        </w:rPr>
        <w:t>2019</w:t>
      </w:r>
      <w:r w:rsidR="00063635" w:rsidRPr="007F50E2">
        <w:rPr>
          <w:rFonts w:ascii="Candara" w:hAnsi="Candara"/>
          <w:sz w:val="24"/>
          <w:szCs w:val="24"/>
          <w:lang w:val="es-MX"/>
        </w:rPr>
        <w:t xml:space="preserve">. En términos del PIB fue </w:t>
      </w:r>
      <w:r w:rsidRPr="007F50E2">
        <w:rPr>
          <w:rFonts w:ascii="Candara" w:hAnsi="Candara"/>
          <w:sz w:val="24"/>
          <w:szCs w:val="24"/>
          <w:lang w:val="es-MX"/>
        </w:rPr>
        <w:t>equivalente a</w:t>
      </w:r>
      <w:r w:rsidR="00063635" w:rsidRPr="007F50E2">
        <w:rPr>
          <w:rFonts w:ascii="Candara" w:hAnsi="Candara"/>
          <w:sz w:val="24"/>
          <w:szCs w:val="24"/>
          <w:lang w:val="es-MX"/>
        </w:rPr>
        <w:t>l</w:t>
      </w:r>
      <w:r w:rsidRPr="007F50E2">
        <w:rPr>
          <w:rFonts w:ascii="Candara" w:hAnsi="Candara"/>
          <w:sz w:val="24"/>
          <w:szCs w:val="24"/>
          <w:lang w:val="es-MX"/>
        </w:rPr>
        <w:t xml:space="preserve"> </w:t>
      </w:r>
      <w:r w:rsidR="004E71FF">
        <w:rPr>
          <w:rFonts w:ascii="Candara" w:hAnsi="Candara"/>
          <w:sz w:val="24"/>
          <w:szCs w:val="24"/>
          <w:lang w:val="es-MX"/>
        </w:rPr>
        <w:t>-</w:t>
      </w:r>
      <w:r w:rsidR="002F44DD">
        <w:rPr>
          <w:rFonts w:ascii="Candara" w:hAnsi="Candara"/>
          <w:sz w:val="24"/>
          <w:szCs w:val="24"/>
          <w:lang w:val="es-MX"/>
        </w:rPr>
        <w:t>5.</w:t>
      </w:r>
      <w:r w:rsidR="007A7428">
        <w:rPr>
          <w:rFonts w:ascii="Candara" w:hAnsi="Candara"/>
          <w:sz w:val="24"/>
          <w:szCs w:val="24"/>
          <w:lang w:val="es-MX"/>
        </w:rPr>
        <w:t>6</w:t>
      </w:r>
      <w:r w:rsidRPr="007F50E2">
        <w:rPr>
          <w:rFonts w:ascii="Candara" w:hAnsi="Candara"/>
          <w:sz w:val="24"/>
          <w:szCs w:val="24"/>
          <w:lang w:val="es-MX"/>
        </w:rPr>
        <w:t>%</w:t>
      </w:r>
      <w:r w:rsidR="004C2A20" w:rsidRPr="007F50E2">
        <w:rPr>
          <w:rFonts w:ascii="Candara" w:hAnsi="Candara"/>
          <w:sz w:val="24"/>
          <w:szCs w:val="24"/>
          <w:lang w:val="es-MX"/>
        </w:rPr>
        <w:t xml:space="preserve"> </w:t>
      </w:r>
      <w:r w:rsidR="00FB7D8B" w:rsidRPr="007F50E2">
        <w:rPr>
          <w:rFonts w:ascii="Candara" w:hAnsi="Candara"/>
          <w:sz w:val="24"/>
          <w:szCs w:val="24"/>
          <w:lang w:val="es-MX"/>
        </w:rPr>
        <w:t>m</w:t>
      </w:r>
      <w:r w:rsidR="004E71FF">
        <w:rPr>
          <w:rFonts w:ascii="Candara" w:hAnsi="Candara"/>
          <w:sz w:val="24"/>
          <w:szCs w:val="24"/>
          <w:lang w:val="es-MX"/>
        </w:rPr>
        <w:t>enor</w:t>
      </w:r>
      <w:r w:rsidR="00FB7D8B" w:rsidRPr="007F50E2">
        <w:rPr>
          <w:rFonts w:ascii="Candara" w:hAnsi="Candara"/>
          <w:sz w:val="24"/>
          <w:szCs w:val="24"/>
          <w:lang w:val="es-MX"/>
        </w:rPr>
        <w:t xml:space="preserve"> en </w:t>
      </w:r>
      <w:r w:rsidR="002F44DD">
        <w:rPr>
          <w:rFonts w:ascii="Candara" w:hAnsi="Candara"/>
          <w:sz w:val="24"/>
          <w:szCs w:val="24"/>
          <w:lang w:val="es-MX"/>
        </w:rPr>
        <w:t>6.8</w:t>
      </w:r>
      <w:r w:rsidR="00FB7D8B" w:rsidRPr="007F50E2">
        <w:rPr>
          <w:rFonts w:ascii="Candara" w:hAnsi="Candara"/>
          <w:sz w:val="24"/>
          <w:szCs w:val="24"/>
          <w:lang w:val="es-MX"/>
        </w:rPr>
        <w:t xml:space="preserve"> puntos</w:t>
      </w:r>
      <w:r w:rsidR="004C2A20" w:rsidRPr="007F50E2">
        <w:rPr>
          <w:rFonts w:ascii="Candara" w:hAnsi="Candara"/>
          <w:sz w:val="24"/>
          <w:szCs w:val="24"/>
          <w:lang w:val="es-MX"/>
        </w:rPr>
        <w:t xml:space="preserve"> al obtenido en el año anterior.</w:t>
      </w:r>
    </w:p>
    <w:p w:rsidR="009E7475" w:rsidRPr="007D580D" w:rsidRDefault="009E7475" w:rsidP="00840A08">
      <w:pPr>
        <w:jc w:val="both"/>
        <w:rPr>
          <w:rFonts w:ascii="Candara" w:hAnsi="Candara"/>
          <w:lang w:val="es-MX"/>
        </w:rPr>
      </w:pPr>
    </w:p>
    <w:p w:rsidR="006079A6" w:rsidRDefault="005C33AE" w:rsidP="00DC07AD">
      <w:pPr>
        <w:jc w:val="center"/>
        <w:rPr>
          <w:rFonts w:ascii="Candara" w:hAnsi="Candara"/>
          <w:sz w:val="24"/>
          <w:szCs w:val="24"/>
          <w:lang w:val="es-MX"/>
        </w:rPr>
      </w:pPr>
      <w:r w:rsidRPr="007F50E2">
        <w:rPr>
          <w:rFonts w:ascii="Candara" w:hAnsi="Candara"/>
          <w:sz w:val="24"/>
          <w:szCs w:val="24"/>
          <w:lang w:val="es-MX"/>
        </w:rPr>
        <w:t xml:space="preserve">Gráfico </w:t>
      </w:r>
      <w:r w:rsidR="00DC07AD" w:rsidRPr="007F50E2">
        <w:rPr>
          <w:rFonts w:ascii="Candara" w:hAnsi="Candara"/>
          <w:sz w:val="24"/>
          <w:szCs w:val="24"/>
          <w:lang w:val="es-MX"/>
        </w:rPr>
        <w:t>1</w:t>
      </w:r>
      <w:r w:rsidR="006B57E8">
        <w:rPr>
          <w:rFonts w:ascii="Candara" w:hAnsi="Candara"/>
          <w:sz w:val="24"/>
          <w:szCs w:val="24"/>
          <w:lang w:val="es-MX"/>
        </w:rPr>
        <w:t>2</w:t>
      </w:r>
      <w:r w:rsidR="00DC07AD" w:rsidRPr="007F50E2">
        <w:rPr>
          <w:rFonts w:ascii="Candara" w:hAnsi="Candara"/>
          <w:sz w:val="24"/>
          <w:szCs w:val="24"/>
          <w:lang w:val="es-MX"/>
        </w:rPr>
        <w:t xml:space="preserve"> Balance Primario del SPNF a </w:t>
      </w:r>
      <w:r w:rsidR="006854AC">
        <w:rPr>
          <w:rFonts w:ascii="Candara" w:hAnsi="Candara"/>
          <w:sz w:val="24"/>
          <w:szCs w:val="24"/>
          <w:lang w:val="es-MX"/>
        </w:rPr>
        <w:t>diciembre</w:t>
      </w:r>
      <w:r w:rsidR="00DC07AD" w:rsidRPr="007F50E2">
        <w:rPr>
          <w:rFonts w:ascii="Candara" w:hAnsi="Candara"/>
          <w:sz w:val="24"/>
          <w:szCs w:val="24"/>
          <w:lang w:val="es-MX"/>
        </w:rPr>
        <w:t xml:space="preserve"> 20</w:t>
      </w:r>
      <w:r w:rsidR="004E71FF">
        <w:rPr>
          <w:rFonts w:ascii="Candara" w:hAnsi="Candara"/>
          <w:sz w:val="24"/>
          <w:szCs w:val="24"/>
          <w:lang w:val="es-MX"/>
        </w:rPr>
        <w:t>14</w:t>
      </w:r>
      <w:r w:rsidR="00DC07AD" w:rsidRPr="007F50E2">
        <w:rPr>
          <w:rFonts w:ascii="Candara" w:hAnsi="Candara"/>
          <w:sz w:val="24"/>
          <w:szCs w:val="24"/>
          <w:lang w:val="es-MX"/>
        </w:rPr>
        <w:t>-</w:t>
      </w:r>
      <w:r w:rsidR="00042C94">
        <w:rPr>
          <w:rFonts w:ascii="Candara" w:hAnsi="Candara"/>
          <w:sz w:val="24"/>
          <w:szCs w:val="24"/>
          <w:lang w:val="es-MX"/>
        </w:rPr>
        <w:t>2020</w:t>
      </w:r>
    </w:p>
    <w:p w:rsidR="00DC07AD" w:rsidRPr="007F50E2" w:rsidRDefault="00991E13" w:rsidP="00DC07AD">
      <w:pPr>
        <w:jc w:val="center"/>
        <w:rPr>
          <w:rFonts w:ascii="Candara" w:hAnsi="Candara"/>
          <w:sz w:val="24"/>
          <w:szCs w:val="24"/>
          <w:lang w:val="es-MX"/>
        </w:rPr>
      </w:pPr>
      <w:r>
        <w:rPr>
          <w:rFonts w:ascii="Candara" w:hAnsi="Candara"/>
          <w:sz w:val="24"/>
          <w:szCs w:val="24"/>
          <w:lang w:val="es-MX"/>
        </w:rPr>
        <w:t xml:space="preserve">   </w:t>
      </w:r>
    </w:p>
    <w:p w:rsidR="00E95BC9" w:rsidRPr="007D580D" w:rsidRDefault="001F6DC0" w:rsidP="00386BC0">
      <w:pPr>
        <w:jc w:val="center"/>
        <w:rPr>
          <w:rFonts w:ascii="Candara" w:hAnsi="Candara"/>
          <w:sz w:val="16"/>
          <w:szCs w:val="16"/>
          <w:lang w:val="es-MX"/>
        </w:rPr>
      </w:pPr>
      <w:r w:rsidRPr="001F6DC0">
        <w:rPr>
          <w:noProof/>
        </w:rPr>
        <w:drawing>
          <wp:inline distT="0" distB="0" distL="0" distR="0" wp14:anchorId="65FDF3C6" wp14:editId="77146AA9">
            <wp:extent cx="5105781" cy="3060059"/>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6063" cy="3066221"/>
                    </a:xfrm>
                    <a:prstGeom prst="rect">
                      <a:avLst/>
                    </a:prstGeom>
                    <a:noFill/>
                    <a:ln>
                      <a:noFill/>
                    </a:ln>
                  </pic:spPr>
                </pic:pic>
              </a:graphicData>
            </a:graphic>
          </wp:inline>
        </w:drawing>
      </w:r>
    </w:p>
    <w:p w:rsidR="006B4FA5" w:rsidRDefault="00442DE5" w:rsidP="004423E5">
      <w:pPr>
        <w:pStyle w:val="Heading3"/>
        <w:rPr>
          <w:rFonts w:ascii="Candara" w:hAnsi="Candara"/>
          <w:b/>
          <w:lang w:val="es-MX"/>
        </w:rPr>
      </w:pPr>
      <w:bookmarkStart w:id="78" w:name="_Toc411843470"/>
      <w:r w:rsidRPr="00F83B36">
        <w:rPr>
          <w:rFonts w:ascii="Candara" w:hAnsi="Candara"/>
          <w:b/>
          <w:lang w:val="es-MX"/>
        </w:rPr>
        <w:t xml:space="preserve"> </w:t>
      </w:r>
      <w:bookmarkStart w:id="79" w:name="_Toc56581224"/>
    </w:p>
    <w:p w:rsidR="00D752AF" w:rsidRPr="00F83B36" w:rsidRDefault="00AA7D08" w:rsidP="004423E5">
      <w:pPr>
        <w:pStyle w:val="Heading3"/>
        <w:rPr>
          <w:rFonts w:ascii="Candara" w:hAnsi="Candara"/>
          <w:b/>
          <w:lang w:val="es-MX"/>
        </w:rPr>
      </w:pPr>
      <w:bookmarkStart w:id="80" w:name="_Toc64531487"/>
      <w:r w:rsidRPr="00F83B36">
        <w:rPr>
          <w:rFonts w:ascii="Candara" w:hAnsi="Candara"/>
          <w:b/>
          <w:lang w:val="es-MX"/>
        </w:rPr>
        <w:t>4</w:t>
      </w:r>
      <w:r w:rsidR="009B117C" w:rsidRPr="00F83B36">
        <w:rPr>
          <w:rFonts w:ascii="Candara" w:hAnsi="Candara"/>
          <w:b/>
          <w:lang w:val="es-MX"/>
        </w:rPr>
        <w:t xml:space="preserve">.3 </w:t>
      </w:r>
      <w:r w:rsidR="00D752AF" w:rsidRPr="00F83B36">
        <w:rPr>
          <w:rFonts w:ascii="Candara" w:hAnsi="Candara"/>
          <w:b/>
          <w:lang w:val="es-MX"/>
        </w:rPr>
        <w:t>Balance global</w:t>
      </w:r>
      <w:bookmarkEnd w:id="79"/>
      <w:bookmarkEnd w:id="80"/>
    </w:p>
    <w:p w:rsidR="00D752AF" w:rsidRPr="007F50E2" w:rsidRDefault="00D752AF" w:rsidP="004A685A">
      <w:pPr>
        <w:jc w:val="both"/>
        <w:rPr>
          <w:rFonts w:ascii="Candara" w:hAnsi="Candara"/>
          <w:sz w:val="24"/>
          <w:szCs w:val="24"/>
          <w:lang w:val="es-MX"/>
        </w:rPr>
      </w:pPr>
    </w:p>
    <w:bookmarkEnd w:id="78"/>
    <w:p w:rsidR="00665FCA" w:rsidRPr="007F50E2" w:rsidRDefault="002F28DF" w:rsidP="00BE54F5">
      <w:pPr>
        <w:jc w:val="both"/>
        <w:rPr>
          <w:rFonts w:ascii="Candara" w:hAnsi="Candara"/>
          <w:sz w:val="24"/>
          <w:szCs w:val="24"/>
          <w:lang w:val="es-MX"/>
        </w:rPr>
      </w:pPr>
      <w:r w:rsidRPr="007F50E2">
        <w:rPr>
          <w:rFonts w:ascii="Candara" w:hAnsi="Candara"/>
          <w:sz w:val="24"/>
          <w:szCs w:val="24"/>
          <w:lang w:val="es-MX"/>
        </w:rPr>
        <w:t>Las operaciones financieras consolidadas</w:t>
      </w:r>
      <w:r w:rsidR="007A4225" w:rsidRPr="007F50E2">
        <w:rPr>
          <w:rFonts w:ascii="Candara" w:hAnsi="Candara"/>
          <w:sz w:val="24"/>
          <w:szCs w:val="24"/>
          <w:lang w:val="es-MX"/>
        </w:rPr>
        <w:t xml:space="preserve"> </w:t>
      </w:r>
      <w:r w:rsidR="00BE54F5" w:rsidRPr="007F50E2">
        <w:rPr>
          <w:rFonts w:ascii="Candara" w:hAnsi="Candara"/>
          <w:sz w:val="24"/>
          <w:szCs w:val="24"/>
          <w:lang w:val="es-MX"/>
        </w:rPr>
        <w:t xml:space="preserve">del SPNF </w:t>
      </w:r>
      <w:r w:rsidR="005767D6">
        <w:rPr>
          <w:rFonts w:ascii="Candara" w:hAnsi="Candara"/>
          <w:sz w:val="24"/>
          <w:szCs w:val="24"/>
          <w:lang w:val="es-MX"/>
        </w:rPr>
        <w:t xml:space="preserve">a </w:t>
      </w:r>
      <w:r w:rsidR="006854AC">
        <w:rPr>
          <w:rFonts w:ascii="Candara" w:hAnsi="Candara"/>
          <w:sz w:val="24"/>
          <w:szCs w:val="24"/>
          <w:lang w:val="es-MX"/>
        </w:rPr>
        <w:t>diciembre</w:t>
      </w:r>
      <w:r w:rsidR="005767D6">
        <w:rPr>
          <w:rFonts w:ascii="Candara" w:hAnsi="Candara"/>
          <w:sz w:val="24"/>
          <w:szCs w:val="24"/>
          <w:lang w:val="es-MX"/>
        </w:rPr>
        <w:t xml:space="preserve"> </w:t>
      </w:r>
      <w:r w:rsidR="00042C94">
        <w:rPr>
          <w:rFonts w:ascii="Candara" w:hAnsi="Candara"/>
          <w:sz w:val="24"/>
          <w:szCs w:val="24"/>
          <w:lang w:val="es-MX"/>
        </w:rPr>
        <w:t>2020</w:t>
      </w:r>
      <w:r w:rsidR="00BE54F5" w:rsidRPr="007F50E2">
        <w:rPr>
          <w:rFonts w:ascii="Candara" w:hAnsi="Candara"/>
          <w:sz w:val="24"/>
          <w:szCs w:val="24"/>
          <w:lang w:val="es-MX"/>
        </w:rPr>
        <w:t>, registr</w:t>
      </w:r>
      <w:r w:rsidRPr="007F50E2">
        <w:rPr>
          <w:rFonts w:ascii="Candara" w:hAnsi="Candara"/>
          <w:sz w:val="24"/>
          <w:szCs w:val="24"/>
          <w:lang w:val="es-MX"/>
        </w:rPr>
        <w:t xml:space="preserve">aron </w:t>
      </w:r>
      <w:r w:rsidR="00BE54F5" w:rsidRPr="007F50E2">
        <w:rPr>
          <w:rFonts w:ascii="Candara" w:hAnsi="Candara"/>
          <w:sz w:val="24"/>
          <w:szCs w:val="24"/>
          <w:lang w:val="es-MX"/>
        </w:rPr>
        <w:t>un</w:t>
      </w:r>
      <w:r w:rsidR="00DB556C" w:rsidRPr="007F50E2">
        <w:rPr>
          <w:rFonts w:ascii="Candara" w:hAnsi="Candara"/>
          <w:sz w:val="24"/>
          <w:szCs w:val="24"/>
          <w:lang w:val="es-MX"/>
        </w:rPr>
        <w:t xml:space="preserve"> </w:t>
      </w:r>
      <w:r w:rsidR="00BE37C9" w:rsidRPr="007F50E2">
        <w:rPr>
          <w:rFonts w:ascii="Candara" w:hAnsi="Candara"/>
          <w:sz w:val="24"/>
          <w:szCs w:val="24"/>
          <w:lang w:val="es-MX"/>
        </w:rPr>
        <w:t>déficit</w:t>
      </w:r>
      <w:r w:rsidR="00BE54F5" w:rsidRPr="007F50E2">
        <w:rPr>
          <w:rFonts w:ascii="Candara" w:hAnsi="Candara"/>
          <w:sz w:val="24"/>
          <w:szCs w:val="24"/>
          <w:lang w:val="es-MX"/>
        </w:rPr>
        <w:t xml:space="preserve"> global sin pensiones de $</w:t>
      </w:r>
      <w:r w:rsidR="002F44DD">
        <w:rPr>
          <w:rFonts w:ascii="Candara" w:hAnsi="Candara"/>
          <w:sz w:val="24"/>
          <w:szCs w:val="24"/>
          <w:lang w:val="es-MX"/>
        </w:rPr>
        <w:t>2,</w:t>
      </w:r>
      <w:r w:rsidR="00C01835">
        <w:rPr>
          <w:rFonts w:ascii="Candara" w:hAnsi="Candara"/>
          <w:sz w:val="24"/>
          <w:szCs w:val="24"/>
          <w:lang w:val="es-MX"/>
        </w:rPr>
        <w:t>197.0</w:t>
      </w:r>
      <w:r w:rsidR="00FB7D8B" w:rsidRPr="007F50E2">
        <w:rPr>
          <w:rFonts w:ascii="Candara" w:hAnsi="Candara"/>
          <w:sz w:val="24"/>
          <w:szCs w:val="24"/>
          <w:lang w:val="es-MX"/>
        </w:rPr>
        <w:t xml:space="preserve"> mi</w:t>
      </w:r>
      <w:r w:rsidR="00BE54F5" w:rsidRPr="007F50E2">
        <w:rPr>
          <w:rFonts w:ascii="Candara" w:hAnsi="Candara"/>
          <w:sz w:val="24"/>
          <w:szCs w:val="24"/>
          <w:lang w:val="es-MX"/>
        </w:rPr>
        <w:t xml:space="preserve">llones, equivalente a </w:t>
      </w:r>
      <w:r w:rsidR="00DA7944">
        <w:rPr>
          <w:rFonts w:ascii="Candara" w:hAnsi="Candara"/>
          <w:sz w:val="24"/>
          <w:szCs w:val="24"/>
          <w:lang w:val="es-MX"/>
        </w:rPr>
        <w:t>-</w:t>
      </w:r>
      <w:r w:rsidR="007A7428">
        <w:rPr>
          <w:rFonts w:ascii="Candara" w:hAnsi="Candara"/>
          <w:sz w:val="24"/>
          <w:szCs w:val="24"/>
          <w:lang w:val="es-MX"/>
        </w:rPr>
        <w:t>8.7</w:t>
      </w:r>
      <w:r w:rsidR="00BE54F5" w:rsidRPr="007F50E2">
        <w:rPr>
          <w:rFonts w:ascii="Candara" w:hAnsi="Candara"/>
          <w:sz w:val="24"/>
          <w:szCs w:val="24"/>
          <w:lang w:val="es-MX"/>
        </w:rPr>
        <w:t xml:space="preserve">% del PIB; </w:t>
      </w:r>
      <w:r w:rsidR="00F12D56" w:rsidRPr="007F50E2">
        <w:rPr>
          <w:rFonts w:ascii="Candara" w:hAnsi="Candara"/>
          <w:sz w:val="24"/>
          <w:szCs w:val="24"/>
          <w:lang w:val="es-MX"/>
        </w:rPr>
        <w:t xml:space="preserve">resultado </w:t>
      </w:r>
      <w:r w:rsidR="00BE37C9" w:rsidRPr="007F50E2">
        <w:rPr>
          <w:rFonts w:ascii="Candara" w:hAnsi="Candara"/>
          <w:sz w:val="24"/>
          <w:szCs w:val="24"/>
          <w:lang w:val="es-MX"/>
        </w:rPr>
        <w:t>m</w:t>
      </w:r>
      <w:r w:rsidR="004E71FF">
        <w:rPr>
          <w:rFonts w:ascii="Candara" w:hAnsi="Candara"/>
          <w:sz w:val="24"/>
          <w:szCs w:val="24"/>
          <w:lang w:val="es-MX"/>
        </w:rPr>
        <w:t>ayor</w:t>
      </w:r>
      <w:r w:rsidR="00ED4983" w:rsidRPr="007F50E2">
        <w:rPr>
          <w:rFonts w:ascii="Candara" w:hAnsi="Candara"/>
          <w:sz w:val="24"/>
          <w:szCs w:val="24"/>
          <w:lang w:val="es-MX"/>
        </w:rPr>
        <w:t xml:space="preserve"> en </w:t>
      </w:r>
      <w:r w:rsidR="007A7428">
        <w:rPr>
          <w:rFonts w:ascii="Candara" w:hAnsi="Candara"/>
          <w:sz w:val="24"/>
          <w:szCs w:val="24"/>
          <w:lang w:val="es-MX"/>
        </w:rPr>
        <w:t>7.0</w:t>
      </w:r>
      <w:r w:rsidR="00ED4983" w:rsidRPr="007F50E2">
        <w:rPr>
          <w:rFonts w:ascii="Candara" w:hAnsi="Candara"/>
          <w:sz w:val="24"/>
          <w:szCs w:val="24"/>
          <w:lang w:val="es-MX"/>
        </w:rPr>
        <w:t xml:space="preserve"> puntos </w:t>
      </w:r>
      <w:r w:rsidR="00DB556C" w:rsidRPr="007F50E2">
        <w:rPr>
          <w:rFonts w:ascii="Candara" w:hAnsi="Candara"/>
          <w:sz w:val="24"/>
          <w:szCs w:val="24"/>
          <w:lang w:val="es-MX"/>
        </w:rPr>
        <w:t xml:space="preserve">del PIB </w:t>
      </w:r>
      <w:r w:rsidR="00F12D56" w:rsidRPr="007F50E2">
        <w:rPr>
          <w:rFonts w:ascii="Candara" w:hAnsi="Candara"/>
          <w:sz w:val="24"/>
          <w:szCs w:val="24"/>
          <w:lang w:val="es-MX"/>
        </w:rPr>
        <w:t>c</w:t>
      </w:r>
      <w:r w:rsidR="00BE54F5" w:rsidRPr="007F50E2">
        <w:rPr>
          <w:rFonts w:ascii="Candara" w:hAnsi="Candara"/>
          <w:sz w:val="24"/>
          <w:szCs w:val="24"/>
          <w:lang w:val="es-MX"/>
        </w:rPr>
        <w:t xml:space="preserve">on relación al resultado observado en </w:t>
      </w:r>
      <w:r w:rsidR="00042C94">
        <w:rPr>
          <w:rFonts w:ascii="Candara" w:hAnsi="Candara"/>
          <w:sz w:val="24"/>
          <w:szCs w:val="24"/>
          <w:lang w:val="es-MX"/>
        </w:rPr>
        <w:t>2019</w:t>
      </w:r>
      <w:r w:rsidR="00BE54F5" w:rsidRPr="007F50E2">
        <w:rPr>
          <w:rFonts w:ascii="Candara" w:hAnsi="Candara"/>
          <w:sz w:val="24"/>
          <w:szCs w:val="24"/>
          <w:lang w:val="es-MX"/>
        </w:rPr>
        <w:t>, producto de un</w:t>
      </w:r>
      <w:r w:rsidR="00F83B36">
        <w:rPr>
          <w:rFonts w:ascii="Candara" w:hAnsi="Candara"/>
          <w:sz w:val="24"/>
          <w:szCs w:val="24"/>
          <w:lang w:val="es-MX"/>
        </w:rPr>
        <w:t>a</w:t>
      </w:r>
      <w:r w:rsidR="00BE54F5" w:rsidRPr="007F50E2">
        <w:rPr>
          <w:rFonts w:ascii="Candara" w:hAnsi="Candara"/>
          <w:sz w:val="24"/>
          <w:szCs w:val="24"/>
          <w:lang w:val="es-MX"/>
        </w:rPr>
        <w:t xml:space="preserve"> </w:t>
      </w:r>
      <w:r w:rsidR="00F83B36">
        <w:rPr>
          <w:rFonts w:ascii="Candara" w:hAnsi="Candara"/>
          <w:sz w:val="24"/>
          <w:szCs w:val="24"/>
          <w:lang w:val="es-MX"/>
        </w:rPr>
        <w:t xml:space="preserve">disminución </w:t>
      </w:r>
      <w:r w:rsidR="00BE54F5" w:rsidRPr="007F50E2">
        <w:rPr>
          <w:rFonts w:ascii="Candara" w:hAnsi="Candara"/>
          <w:sz w:val="24"/>
          <w:szCs w:val="24"/>
          <w:lang w:val="es-MX"/>
        </w:rPr>
        <w:t>en los ingresos por $</w:t>
      </w:r>
      <w:r w:rsidR="007A7428">
        <w:rPr>
          <w:rFonts w:ascii="Candara" w:hAnsi="Candara"/>
          <w:sz w:val="24"/>
          <w:szCs w:val="24"/>
          <w:lang w:val="es-MX"/>
        </w:rPr>
        <w:t>4</w:t>
      </w:r>
      <w:r w:rsidR="00C01835">
        <w:rPr>
          <w:rFonts w:ascii="Candara" w:hAnsi="Candara"/>
          <w:sz w:val="24"/>
          <w:szCs w:val="24"/>
          <w:lang w:val="es-MX"/>
        </w:rPr>
        <w:t>10.0</w:t>
      </w:r>
      <w:r w:rsidR="00C9047A" w:rsidRPr="007F50E2">
        <w:rPr>
          <w:rFonts w:ascii="Candara" w:hAnsi="Candara"/>
          <w:sz w:val="24"/>
          <w:szCs w:val="24"/>
          <w:lang w:val="es-MX"/>
        </w:rPr>
        <w:t xml:space="preserve"> millones</w:t>
      </w:r>
      <w:r w:rsidR="00CA5904" w:rsidRPr="007F50E2">
        <w:rPr>
          <w:rFonts w:ascii="Candara" w:hAnsi="Candara"/>
          <w:sz w:val="24"/>
          <w:szCs w:val="24"/>
          <w:lang w:val="es-MX"/>
        </w:rPr>
        <w:t xml:space="preserve"> (</w:t>
      </w:r>
      <w:r w:rsidR="007A7428">
        <w:rPr>
          <w:rFonts w:ascii="Candara" w:hAnsi="Candara"/>
          <w:sz w:val="24"/>
          <w:szCs w:val="24"/>
          <w:lang w:val="es-MX"/>
        </w:rPr>
        <w:t>6.</w:t>
      </w:r>
      <w:r w:rsidR="00C01835">
        <w:rPr>
          <w:rFonts w:ascii="Candara" w:hAnsi="Candara"/>
          <w:sz w:val="24"/>
          <w:szCs w:val="24"/>
          <w:lang w:val="es-MX"/>
        </w:rPr>
        <w:t>7</w:t>
      </w:r>
      <w:r w:rsidR="00CA5904" w:rsidRPr="007F50E2">
        <w:rPr>
          <w:rFonts w:ascii="Candara" w:hAnsi="Candara"/>
          <w:sz w:val="24"/>
          <w:szCs w:val="24"/>
          <w:lang w:val="es-MX"/>
        </w:rPr>
        <w:t>%)</w:t>
      </w:r>
      <w:r w:rsidR="00C9047A" w:rsidRPr="007F50E2">
        <w:rPr>
          <w:rFonts w:ascii="Candara" w:hAnsi="Candara"/>
          <w:sz w:val="24"/>
          <w:szCs w:val="24"/>
          <w:lang w:val="es-MX"/>
        </w:rPr>
        <w:t xml:space="preserve"> y </w:t>
      </w:r>
      <w:r w:rsidR="00F83B36">
        <w:rPr>
          <w:rFonts w:ascii="Candara" w:hAnsi="Candara"/>
          <w:sz w:val="24"/>
          <w:szCs w:val="24"/>
          <w:lang w:val="es-MX"/>
        </w:rPr>
        <w:t xml:space="preserve">un incremento </w:t>
      </w:r>
      <w:r w:rsidR="00BE54F5" w:rsidRPr="007F50E2">
        <w:rPr>
          <w:rFonts w:ascii="Candara" w:hAnsi="Candara"/>
          <w:sz w:val="24"/>
          <w:szCs w:val="24"/>
          <w:lang w:val="es-MX"/>
        </w:rPr>
        <w:t>en los gastos totales de $</w:t>
      </w:r>
      <w:r w:rsidR="002F44DD">
        <w:rPr>
          <w:rFonts w:ascii="Candara" w:hAnsi="Candara"/>
          <w:sz w:val="24"/>
          <w:szCs w:val="24"/>
          <w:lang w:val="es-MX"/>
        </w:rPr>
        <w:t>1,</w:t>
      </w:r>
      <w:r w:rsidR="007A7428">
        <w:rPr>
          <w:rFonts w:ascii="Candara" w:hAnsi="Candara"/>
          <w:sz w:val="24"/>
          <w:szCs w:val="24"/>
          <w:lang w:val="es-MX"/>
        </w:rPr>
        <w:t>315.1</w:t>
      </w:r>
      <w:r w:rsidR="003C618A" w:rsidRPr="007F50E2">
        <w:rPr>
          <w:rFonts w:ascii="Candara" w:hAnsi="Candara"/>
          <w:sz w:val="24"/>
          <w:szCs w:val="24"/>
          <w:lang w:val="es-MX"/>
        </w:rPr>
        <w:t xml:space="preserve"> </w:t>
      </w:r>
      <w:r w:rsidR="00BE54F5" w:rsidRPr="007F50E2">
        <w:rPr>
          <w:rFonts w:ascii="Candara" w:hAnsi="Candara"/>
          <w:sz w:val="24"/>
          <w:szCs w:val="24"/>
          <w:lang w:val="es-MX"/>
        </w:rPr>
        <w:t>millones</w:t>
      </w:r>
      <w:r w:rsidR="00CA5904" w:rsidRPr="007F50E2">
        <w:rPr>
          <w:rFonts w:ascii="Candara" w:hAnsi="Candara"/>
          <w:sz w:val="24"/>
          <w:szCs w:val="24"/>
          <w:lang w:val="es-MX"/>
        </w:rPr>
        <w:t xml:space="preserve"> (</w:t>
      </w:r>
      <w:r w:rsidR="004B1AD2">
        <w:rPr>
          <w:rFonts w:ascii="Candara" w:hAnsi="Candara"/>
          <w:sz w:val="24"/>
          <w:szCs w:val="24"/>
          <w:lang w:val="es-MX"/>
        </w:rPr>
        <w:t>19.9</w:t>
      </w:r>
      <w:r w:rsidR="00CA5904" w:rsidRPr="007F50E2">
        <w:rPr>
          <w:rFonts w:ascii="Candara" w:hAnsi="Candara"/>
          <w:sz w:val="24"/>
          <w:szCs w:val="24"/>
          <w:lang w:val="es-MX"/>
        </w:rPr>
        <w:t>%)</w:t>
      </w:r>
      <w:r w:rsidR="00BE54F5" w:rsidRPr="007F50E2">
        <w:rPr>
          <w:rFonts w:ascii="Candara" w:hAnsi="Candara"/>
          <w:sz w:val="24"/>
          <w:szCs w:val="24"/>
          <w:lang w:val="es-MX"/>
        </w:rPr>
        <w:t>. Al incorporar el pago en concepto de pensiones</w:t>
      </w:r>
      <w:r w:rsidR="007A4225" w:rsidRPr="007F50E2">
        <w:rPr>
          <w:rFonts w:ascii="Candara" w:hAnsi="Candara"/>
          <w:sz w:val="24"/>
          <w:szCs w:val="24"/>
          <w:lang w:val="es-MX"/>
        </w:rPr>
        <w:t xml:space="preserve"> (FOP)</w:t>
      </w:r>
      <w:r w:rsidR="00665FCA" w:rsidRPr="007F50E2">
        <w:rPr>
          <w:rFonts w:ascii="Candara" w:hAnsi="Candara"/>
          <w:sz w:val="24"/>
          <w:szCs w:val="24"/>
          <w:lang w:val="es-MX"/>
        </w:rPr>
        <w:t>,</w:t>
      </w:r>
      <w:r w:rsidR="00BE54F5" w:rsidRPr="007F50E2">
        <w:rPr>
          <w:rFonts w:ascii="Candara" w:hAnsi="Candara"/>
          <w:sz w:val="24"/>
          <w:szCs w:val="24"/>
          <w:lang w:val="es-MX"/>
        </w:rPr>
        <w:t xml:space="preserve"> resultó un déficit global de $</w:t>
      </w:r>
      <w:r w:rsidR="002F44DD">
        <w:rPr>
          <w:rFonts w:ascii="Candara" w:hAnsi="Candara"/>
          <w:sz w:val="24"/>
          <w:szCs w:val="24"/>
          <w:lang w:val="es-MX"/>
        </w:rPr>
        <w:t>2,</w:t>
      </w:r>
      <w:r w:rsidR="007A7428">
        <w:rPr>
          <w:rFonts w:ascii="Candara" w:hAnsi="Candara"/>
          <w:sz w:val="24"/>
          <w:szCs w:val="24"/>
          <w:lang w:val="es-MX"/>
        </w:rPr>
        <w:t>4</w:t>
      </w:r>
      <w:r w:rsidR="00C01835">
        <w:rPr>
          <w:rFonts w:ascii="Candara" w:hAnsi="Candara"/>
          <w:sz w:val="24"/>
          <w:szCs w:val="24"/>
          <w:lang w:val="es-MX"/>
        </w:rPr>
        <w:t>88.3</w:t>
      </w:r>
      <w:r w:rsidR="00834CDC" w:rsidRPr="007F50E2">
        <w:rPr>
          <w:rFonts w:ascii="Candara" w:hAnsi="Candara"/>
          <w:sz w:val="24"/>
          <w:szCs w:val="24"/>
          <w:lang w:val="es-MX"/>
        </w:rPr>
        <w:t xml:space="preserve"> </w:t>
      </w:r>
      <w:r w:rsidR="002A147C" w:rsidRPr="007F50E2">
        <w:rPr>
          <w:rFonts w:ascii="Candara" w:hAnsi="Candara"/>
          <w:sz w:val="24"/>
          <w:szCs w:val="24"/>
          <w:lang w:val="es-MX"/>
        </w:rPr>
        <w:t>millones; m</w:t>
      </w:r>
      <w:r w:rsidR="0014194D">
        <w:rPr>
          <w:rFonts w:ascii="Candara" w:hAnsi="Candara"/>
          <w:sz w:val="24"/>
          <w:szCs w:val="24"/>
          <w:lang w:val="es-MX"/>
        </w:rPr>
        <w:t xml:space="preserve">ayor en </w:t>
      </w:r>
      <w:r w:rsidR="00BE54F5" w:rsidRPr="007F50E2">
        <w:rPr>
          <w:rFonts w:ascii="Candara" w:hAnsi="Candara"/>
          <w:sz w:val="24"/>
          <w:szCs w:val="24"/>
          <w:lang w:val="es-MX"/>
        </w:rPr>
        <w:t>$</w:t>
      </w:r>
      <w:r w:rsidR="007B4C04">
        <w:rPr>
          <w:rFonts w:ascii="Candara" w:hAnsi="Candara"/>
          <w:sz w:val="24"/>
          <w:szCs w:val="24"/>
          <w:lang w:val="es-MX"/>
        </w:rPr>
        <w:t>1,</w:t>
      </w:r>
      <w:r w:rsidR="007A7428">
        <w:rPr>
          <w:rFonts w:ascii="Candara" w:hAnsi="Candara"/>
          <w:sz w:val="24"/>
          <w:szCs w:val="24"/>
          <w:lang w:val="es-MX"/>
        </w:rPr>
        <w:t>6</w:t>
      </w:r>
      <w:r w:rsidR="00C01835">
        <w:rPr>
          <w:rFonts w:ascii="Candara" w:hAnsi="Candara"/>
          <w:sz w:val="24"/>
          <w:szCs w:val="24"/>
          <w:lang w:val="es-MX"/>
        </w:rPr>
        <w:t>70.8</w:t>
      </w:r>
      <w:r w:rsidR="0061270D" w:rsidRPr="007F50E2">
        <w:rPr>
          <w:rFonts w:ascii="Candara" w:hAnsi="Candara"/>
          <w:sz w:val="24"/>
          <w:szCs w:val="24"/>
          <w:lang w:val="es-MX"/>
        </w:rPr>
        <w:t xml:space="preserve"> </w:t>
      </w:r>
      <w:r w:rsidR="00BE54F5" w:rsidRPr="007F50E2">
        <w:rPr>
          <w:rFonts w:ascii="Candara" w:hAnsi="Candara"/>
          <w:sz w:val="24"/>
          <w:szCs w:val="24"/>
          <w:lang w:val="es-MX"/>
        </w:rPr>
        <w:t xml:space="preserve">millones al registrado en </w:t>
      </w:r>
      <w:r w:rsidR="00C6558B" w:rsidRPr="007F50E2">
        <w:rPr>
          <w:rFonts w:ascii="Candara" w:hAnsi="Candara"/>
          <w:sz w:val="24"/>
          <w:szCs w:val="24"/>
          <w:lang w:val="es-MX"/>
        </w:rPr>
        <w:t xml:space="preserve">el mismo período de </w:t>
      </w:r>
      <w:r w:rsidR="00042C94">
        <w:rPr>
          <w:rFonts w:ascii="Candara" w:hAnsi="Candara"/>
          <w:sz w:val="24"/>
          <w:szCs w:val="24"/>
          <w:lang w:val="es-MX"/>
        </w:rPr>
        <w:t>2019</w:t>
      </w:r>
      <w:r w:rsidR="00BE54F5" w:rsidRPr="007F50E2">
        <w:rPr>
          <w:rFonts w:ascii="Candara" w:hAnsi="Candara"/>
          <w:sz w:val="24"/>
          <w:szCs w:val="24"/>
          <w:lang w:val="es-MX"/>
        </w:rPr>
        <w:t xml:space="preserve">. En términos del PIB </w:t>
      </w:r>
      <w:r w:rsidR="0052116C" w:rsidRPr="007F50E2">
        <w:rPr>
          <w:rFonts w:ascii="Candara" w:hAnsi="Candara"/>
          <w:sz w:val="24"/>
          <w:szCs w:val="24"/>
          <w:lang w:val="es-MX"/>
        </w:rPr>
        <w:t xml:space="preserve">el déficit </w:t>
      </w:r>
      <w:r w:rsidR="006B4FA5">
        <w:rPr>
          <w:rFonts w:ascii="Candara" w:hAnsi="Candara"/>
          <w:sz w:val="24"/>
          <w:szCs w:val="24"/>
          <w:lang w:val="es-MX"/>
        </w:rPr>
        <w:t xml:space="preserve">fiscal </w:t>
      </w:r>
      <w:r w:rsidR="00BE54F5" w:rsidRPr="007F50E2">
        <w:rPr>
          <w:rFonts w:ascii="Candara" w:hAnsi="Candara"/>
          <w:sz w:val="24"/>
          <w:szCs w:val="24"/>
          <w:lang w:val="es-MX"/>
        </w:rPr>
        <w:t xml:space="preserve">fue equivalente a </w:t>
      </w:r>
      <w:r w:rsidR="00137B38" w:rsidRPr="007F50E2">
        <w:rPr>
          <w:rFonts w:ascii="Candara" w:hAnsi="Candara"/>
          <w:sz w:val="24"/>
          <w:szCs w:val="24"/>
          <w:lang w:val="es-MX"/>
        </w:rPr>
        <w:t>-</w:t>
      </w:r>
      <w:r w:rsidR="007A7428">
        <w:rPr>
          <w:rFonts w:ascii="Candara" w:hAnsi="Candara"/>
          <w:sz w:val="24"/>
          <w:szCs w:val="24"/>
          <w:lang w:val="es-MX"/>
        </w:rPr>
        <w:t>9</w:t>
      </w:r>
      <w:r w:rsidR="002F44DD">
        <w:rPr>
          <w:rFonts w:ascii="Candara" w:hAnsi="Candara"/>
          <w:sz w:val="24"/>
          <w:szCs w:val="24"/>
          <w:lang w:val="es-MX"/>
        </w:rPr>
        <w:t>.9</w:t>
      </w:r>
      <w:r w:rsidR="00BE54F5" w:rsidRPr="007F50E2">
        <w:rPr>
          <w:rFonts w:ascii="Candara" w:hAnsi="Candara"/>
          <w:sz w:val="24"/>
          <w:szCs w:val="24"/>
          <w:lang w:val="es-MX"/>
        </w:rPr>
        <w:t>%</w:t>
      </w:r>
      <w:r w:rsidR="00650F9B">
        <w:rPr>
          <w:rFonts w:ascii="Candara" w:hAnsi="Candara"/>
          <w:sz w:val="24"/>
          <w:szCs w:val="24"/>
          <w:lang w:val="es-MX"/>
        </w:rPr>
        <w:t>.</w:t>
      </w:r>
      <w:r w:rsidR="00DB556C" w:rsidRPr="007F50E2">
        <w:rPr>
          <w:rFonts w:ascii="Candara" w:hAnsi="Candara"/>
          <w:sz w:val="24"/>
          <w:szCs w:val="24"/>
          <w:lang w:val="es-MX"/>
        </w:rPr>
        <w:t xml:space="preserve"> </w:t>
      </w:r>
    </w:p>
    <w:p w:rsidR="007D580D" w:rsidRDefault="007D580D" w:rsidP="00DB556C">
      <w:pPr>
        <w:jc w:val="both"/>
        <w:rPr>
          <w:rFonts w:ascii="Candara" w:hAnsi="Candara"/>
          <w:sz w:val="24"/>
          <w:szCs w:val="24"/>
          <w:lang w:val="es-MX"/>
        </w:rPr>
      </w:pPr>
    </w:p>
    <w:p w:rsidR="00DB556C" w:rsidRPr="007F50E2" w:rsidRDefault="00DB556C" w:rsidP="00DB556C">
      <w:pPr>
        <w:jc w:val="both"/>
        <w:rPr>
          <w:rFonts w:ascii="Candara" w:hAnsi="Candara"/>
          <w:sz w:val="24"/>
          <w:szCs w:val="24"/>
          <w:lang w:val="es-MX"/>
        </w:rPr>
      </w:pPr>
      <w:r w:rsidRPr="007F50E2">
        <w:rPr>
          <w:rFonts w:ascii="Candara" w:hAnsi="Candara"/>
          <w:sz w:val="24"/>
          <w:szCs w:val="24"/>
          <w:lang w:val="es-MX"/>
        </w:rPr>
        <w:t>El pago de las pensiones ascendió a $</w:t>
      </w:r>
      <w:r w:rsidR="00642D34">
        <w:rPr>
          <w:rFonts w:ascii="Candara" w:hAnsi="Candara"/>
          <w:sz w:val="24"/>
          <w:szCs w:val="24"/>
          <w:lang w:val="es-MX"/>
        </w:rPr>
        <w:t>2</w:t>
      </w:r>
      <w:r w:rsidR="007A7428">
        <w:rPr>
          <w:rFonts w:ascii="Candara" w:hAnsi="Candara"/>
          <w:sz w:val="24"/>
          <w:szCs w:val="24"/>
          <w:lang w:val="es-MX"/>
        </w:rPr>
        <w:t>91.2</w:t>
      </w:r>
      <w:r w:rsidRPr="007F50E2">
        <w:rPr>
          <w:rFonts w:ascii="Candara" w:hAnsi="Candara"/>
          <w:sz w:val="24"/>
          <w:szCs w:val="24"/>
          <w:lang w:val="es-MX"/>
        </w:rPr>
        <w:t xml:space="preserve"> millones, y represent</w:t>
      </w:r>
      <w:r w:rsidR="00642D34">
        <w:rPr>
          <w:rFonts w:ascii="Candara" w:hAnsi="Candara"/>
          <w:sz w:val="24"/>
          <w:szCs w:val="24"/>
          <w:lang w:val="es-MX"/>
        </w:rPr>
        <w:t>ó</w:t>
      </w:r>
      <w:r w:rsidR="007B4C04">
        <w:rPr>
          <w:rFonts w:ascii="Candara" w:hAnsi="Candara"/>
          <w:sz w:val="24"/>
          <w:szCs w:val="24"/>
          <w:lang w:val="es-MX"/>
        </w:rPr>
        <w:t xml:space="preserve"> </w:t>
      </w:r>
      <w:r w:rsidRPr="007F50E2">
        <w:rPr>
          <w:rFonts w:ascii="Candara" w:hAnsi="Candara"/>
          <w:sz w:val="24"/>
          <w:szCs w:val="24"/>
          <w:lang w:val="es-MX"/>
        </w:rPr>
        <w:t xml:space="preserve">el </w:t>
      </w:r>
      <w:r w:rsidR="001F6DC0">
        <w:rPr>
          <w:rFonts w:ascii="Candara" w:hAnsi="Candara"/>
          <w:sz w:val="24"/>
          <w:szCs w:val="24"/>
          <w:lang w:val="es-MX"/>
        </w:rPr>
        <w:t>1.2</w:t>
      </w:r>
      <w:r w:rsidRPr="007F50E2">
        <w:rPr>
          <w:rFonts w:ascii="Candara" w:hAnsi="Candara"/>
          <w:sz w:val="24"/>
          <w:szCs w:val="24"/>
          <w:lang w:val="es-MX"/>
        </w:rPr>
        <w:t xml:space="preserve">% del PIB. </w:t>
      </w:r>
    </w:p>
    <w:p w:rsidR="00DA7944" w:rsidRDefault="00DA7944" w:rsidP="00386BC0">
      <w:pPr>
        <w:jc w:val="center"/>
        <w:rPr>
          <w:rFonts w:ascii="Candara" w:hAnsi="Candara"/>
          <w:sz w:val="24"/>
          <w:szCs w:val="24"/>
          <w:lang w:val="es-MX"/>
        </w:rPr>
      </w:pPr>
    </w:p>
    <w:p w:rsidR="00C75E6A" w:rsidRDefault="00C75E6A" w:rsidP="00386BC0">
      <w:pPr>
        <w:jc w:val="center"/>
        <w:rPr>
          <w:rFonts w:ascii="Candara" w:hAnsi="Candara"/>
          <w:sz w:val="24"/>
          <w:szCs w:val="24"/>
          <w:lang w:val="es-MX"/>
        </w:rPr>
      </w:pPr>
    </w:p>
    <w:p w:rsidR="00C75E6A" w:rsidRDefault="00C75E6A" w:rsidP="00386BC0">
      <w:pPr>
        <w:jc w:val="center"/>
        <w:rPr>
          <w:rFonts w:ascii="Candara" w:hAnsi="Candara"/>
          <w:sz w:val="24"/>
          <w:szCs w:val="24"/>
          <w:lang w:val="es-MX"/>
        </w:rPr>
      </w:pPr>
    </w:p>
    <w:p w:rsidR="00C75E6A" w:rsidRDefault="00C75E6A" w:rsidP="00386BC0">
      <w:pPr>
        <w:jc w:val="center"/>
        <w:rPr>
          <w:rFonts w:ascii="Candara" w:hAnsi="Candara"/>
          <w:sz w:val="24"/>
          <w:szCs w:val="24"/>
          <w:lang w:val="es-MX"/>
        </w:rPr>
      </w:pPr>
    </w:p>
    <w:p w:rsidR="00C75E6A" w:rsidRDefault="00C75E6A" w:rsidP="00386BC0">
      <w:pPr>
        <w:jc w:val="center"/>
        <w:rPr>
          <w:rFonts w:ascii="Candara" w:hAnsi="Candara"/>
          <w:sz w:val="24"/>
          <w:szCs w:val="24"/>
          <w:lang w:val="es-MX"/>
        </w:rPr>
      </w:pPr>
    </w:p>
    <w:p w:rsidR="00F544CA" w:rsidRDefault="00F544CA"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r w:rsidRPr="007F50E2">
        <w:rPr>
          <w:rFonts w:ascii="Candara" w:hAnsi="Candara"/>
          <w:sz w:val="24"/>
          <w:szCs w:val="24"/>
          <w:lang w:val="es-MX"/>
        </w:rPr>
        <w:lastRenderedPageBreak/>
        <w:t>Gráfico 1</w:t>
      </w:r>
      <w:r w:rsidR="006B57E8">
        <w:rPr>
          <w:rFonts w:ascii="Candara" w:hAnsi="Candara"/>
          <w:sz w:val="24"/>
          <w:szCs w:val="24"/>
          <w:lang w:val="es-MX"/>
        </w:rPr>
        <w:t>3</w:t>
      </w:r>
      <w:r w:rsidRPr="007F50E2">
        <w:rPr>
          <w:rFonts w:ascii="Candara" w:hAnsi="Candara"/>
          <w:sz w:val="24"/>
          <w:szCs w:val="24"/>
          <w:lang w:val="es-MX"/>
        </w:rPr>
        <w:t xml:space="preserve">: Balance Global con pensiones del SPNF a </w:t>
      </w:r>
      <w:r w:rsidR="006854AC">
        <w:rPr>
          <w:rFonts w:ascii="Candara" w:hAnsi="Candara"/>
          <w:sz w:val="24"/>
          <w:szCs w:val="24"/>
          <w:lang w:val="es-MX"/>
        </w:rPr>
        <w:t>diciembre</w:t>
      </w:r>
      <w:r w:rsidRPr="007F50E2">
        <w:rPr>
          <w:rFonts w:ascii="Candara" w:hAnsi="Candara"/>
          <w:sz w:val="24"/>
          <w:szCs w:val="24"/>
          <w:lang w:val="es-MX"/>
        </w:rPr>
        <w:t xml:space="preserve"> 20</w:t>
      </w:r>
      <w:r>
        <w:rPr>
          <w:rFonts w:ascii="Candara" w:hAnsi="Candara"/>
          <w:sz w:val="24"/>
          <w:szCs w:val="24"/>
          <w:lang w:val="es-MX"/>
        </w:rPr>
        <w:t>14</w:t>
      </w:r>
      <w:r w:rsidRPr="007F50E2">
        <w:rPr>
          <w:rFonts w:ascii="Candara" w:hAnsi="Candara"/>
          <w:sz w:val="24"/>
          <w:szCs w:val="24"/>
          <w:lang w:val="es-MX"/>
        </w:rPr>
        <w:t>-</w:t>
      </w:r>
      <w:r>
        <w:rPr>
          <w:rFonts w:ascii="Candara" w:hAnsi="Candara"/>
          <w:sz w:val="24"/>
          <w:szCs w:val="24"/>
          <w:lang w:val="es-MX"/>
        </w:rPr>
        <w:t>2020</w:t>
      </w:r>
    </w:p>
    <w:p w:rsidR="000F7857" w:rsidRDefault="000F7857" w:rsidP="00386BC0">
      <w:pPr>
        <w:jc w:val="center"/>
        <w:rPr>
          <w:rFonts w:ascii="Candara" w:hAnsi="Candara"/>
          <w:sz w:val="24"/>
          <w:szCs w:val="24"/>
          <w:lang w:val="es-MX"/>
        </w:rPr>
      </w:pPr>
    </w:p>
    <w:p w:rsidR="00DA7944" w:rsidRPr="00C17B7C" w:rsidRDefault="001F6DC0" w:rsidP="00386BC0">
      <w:pPr>
        <w:jc w:val="center"/>
        <w:rPr>
          <w:rFonts w:ascii="Candara" w:hAnsi="Candara"/>
          <w:sz w:val="24"/>
          <w:szCs w:val="24"/>
          <w:lang w:val="es-MX"/>
        </w:rPr>
      </w:pPr>
      <w:r w:rsidRPr="001F6DC0">
        <w:rPr>
          <w:noProof/>
        </w:rPr>
        <w:drawing>
          <wp:inline distT="0" distB="0" distL="0" distR="0" wp14:anchorId="120F3882" wp14:editId="10F68C42">
            <wp:extent cx="4825365" cy="289199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5968" cy="2898351"/>
                    </a:xfrm>
                    <a:prstGeom prst="rect">
                      <a:avLst/>
                    </a:prstGeom>
                    <a:noFill/>
                    <a:ln>
                      <a:noFill/>
                    </a:ln>
                  </pic:spPr>
                </pic:pic>
              </a:graphicData>
            </a:graphic>
          </wp:inline>
        </w:drawing>
      </w: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EF7ECC" w:rsidRDefault="00EF7ECC"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DA7944" w:rsidRDefault="00DA7944" w:rsidP="00386BC0">
      <w:pPr>
        <w:jc w:val="center"/>
        <w:rPr>
          <w:rFonts w:ascii="Candara" w:hAnsi="Candara"/>
          <w:sz w:val="24"/>
          <w:szCs w:val="24"/>
          <w:lang w:val="es-MX"/>
        </w:rPr>
      </w:pPr>
    </w:p>
    <w:p w:rsidR="00650F9B" w:rsidRDefault="00650F9B" w:rsidP="00831D82">
      <w:pPr>
        <w:pStyle w:val="Heading2"/>
        <w:jc w:val="center"/>
        <w:rPr>
          <w:rFonts w:ascii="Candara" w:hAnsi="Candara"/>
          <w:sz w:val="28"/>
          <w:szCs w:val="28"/>
          <w:lang w:val="es-MX"/>
        </w:rPr>
      </w:pPr>
    </w:p>
    <w:p w:rsidR="00650F9B" w:rsidRDefault="00650F9B" w:rsidP="00831D82">
      <w:pPr>
        <w:pStyle w:val="Heading2"/>
        <w:jc w:val="center"/>
        <w:rPr>
          <w:rFonts w:ascii="Candara" w:hAnsi="Candara"/>
          <w:sz w:val="28"/>
          <w:szCs w:val="28"/>
          <w:lang w:val="es-MX"/>
        </w:rPr>
      </w:pPr>
    </w:p>
    <w:p w:rsidR="00650F9B" w:rsidRDefault="00650F9B" w:rsidP="00831D82">
      <w:pPr>
        <w:pStyle w:val="Heading2"/>
        <w:jc w:val="center"/>
        <w:rPr>
          <w:rFonts w:ascii="Candara" w:hAnsi="Candara"/>
          <w:sz w:val="28"/>
          <w:szCs w:val="28"/>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Pr="00C75E6A" w:rsidRDefault="00C75E6A" w:rsidP="00C75E6A">
      <w:pPr>
        <w:rPr>
          <w:lang w:val="es-MX"/>
        </w:rPr>
      </w:pPr>
    </w:p>
    <w:p w:rsidR="00650F9B" w:rsidRDefault="00650F9B" w:rsidP="00831D82">
      <w:pPr>
        <w:pStyle w:val="Heading2"/>
        <w:jc w:val="center"/>
        <w:rPr>
          <w:rFonts w:ascii="Candara" w:hAnsi="Candara"/>
          <w:sz w:val="28"/>
          <w:szCs w:val="28"/>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Default="00C75E6A" w:rsidP="00C75E6A">
      <w:pPr>
        <w:rPr>
          <w:lang w:val="es-MX"/>
        </w:rPr>
      </w:pPr>
    </w:p>
    <w:p w:rsidR="00C75E6A" w:rsidRPr="00C75E6A" w:rsidRDefault="00C75E6A" w:rsidP="00C75E6A">
      <w:pPr>
        <w:rPr>
          <w:lang w:val="es-MX"/>
        </w:rPr>
      </w:pPr>
    </w:p>
    <w:p w:rsidR="00BE54F5" w:rsidRPr="005767D6" w:rsidRDefault="00AA7D08" w:rsidP="00831D82">
      <w:pPr>
        <w:pStyle w:val="Heading2"/>
        <w:jc w:val="center"/>
        <w:rPr>
          <w:rFonts w:ascii="Candara" w:hAnsi="Candara"/>
          <w:sz w:val="28"/>
          <w:szCs w:val="28"/>
          <w:lang w:val="es-MX"/>
        </w:rPr>
      </w:pPr>
      <w:bookmarkStart w:id="81" w:name="_Toc56581225"/>
      <w:bookmarkStart w:id="82" w:name="_Toc64531488"/>
      <w:r w:rsidRPr="005767D6">
        <w:rPr>
          <w:rFonts w:ascii="Candara" w:hAnsi="Candara"/>
          <w:sz w:val="28"/>
          <w:szCs w:val="28"/>
          <w:lang w:val="es-MX"/>
        </w:rPr>
        <w:t>5</w:t>
      </w:r>
      <w:r w:rsidR="004423E5" w:rsidRPr="005767D6">
        <w:rPr>
          <w:rFonts w:ascii="Candara" w:hAnsi="Candara"/>
          <w:sz w:val="28"/>
          <w:szCs w:val="28"/>
          <w:lang w:val="es-MX"/>
        </w:rPr>
        <w:t xml:space="preserve">. </w:t>
      </w:r>
      <w:r w:rsidR="00D703ED" w:rsidRPr="005767D6">
        <w:rPr>
          <w:rFonts w:ascii="Candara" w:hAnsi="Candara"/>
          <w:sz w:val="28"/>
          <w:szCs w:val="28"/>
          <w:lang w:val="es-MX"/>
        </w:rPr>
        <w:t>A</w:t>
      </w:r>
      <w:r w:rsidR="00620488" w:rsidRPr="005767D6">
        <w:rPr>
          <w:rFonts w:ascii="Candara" w:hAnsi="Candara"/>
          <w:sz w:val="28"/>
          <w:szCs w:val="28"/>
          <w:lang w:val="es-MX"/>
        </w:rPr>
        <w:t>NEXOS</w:t>
      </w:r>
      <w:bookmarkEnd w:id="81"/>
      <w:bookmarkEnd w:id="82"/>
    </w:p>
    <w:p w:rsidR="00620488" w:rsidRPr="007F50E2" w:rsidRDefault="00620488" w:rsidP="004A685A">
      <w:pPr>
        <w:jc w:val="both"/>
        <w:rPr>
          <w:rFonts w:ascii="Candara" w:hAnsi="Candara"/>
          <w:b/>
          <w:sz w:val="24"/>
          <w:szCs w:val="24"/>
          <w:lang w:val="es-MX"/>
        </w:rPr>
      </w:pPr>
    </w:p>
    <w:p w:rsidR="00B80A8E" w:rsidRPr="007F50E2" w:rsidRDefault="00B80A8E" w:rsidP="004A685A">
      <w:pPr>
        <w:jc w:val="both"/>
        <w:rPr>
          <w:rFonts w:ascii="Candara" w:hAnsi="Candara"/>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650F9B" w:rsidRDefault="00650F9B"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F544CA" w:rsidRDefault="00F544CA"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 xml:space="preserve">Anexo 1: Ejecución del SPNF a </w:t>
      </w:r>
      <w:r w:rsidR="006854AC">
        <w:rPr>
          <w:rFonts w:ascii="Candara" w:hAnsi="Candara"/>
          <w:b/>
          <w:sz w:val="24"/>
          <w:szCs w:val="24"/>
          <w:lang w:val="es-MX"/>
        </w:rPr>
        <w:t>diciembre</w:t>
      </w:r>
      <w:r w:rsidR="00092B07" w:rsidRPr="007F50E2">
        <w:rPr>
          <w:rFonts w:ascii="Candara" w:hAnsi="Candara"/>
          <w:b/>
          <w:sz w:val="24"/>
          <w:szCs w:val="24"/>
          <w:lang w:val="es-MX"/>
        </w:rPr>
        <w:t xml:space="preserve"> </w:t>
      </w:r>
      <w:r w:rsidR="00042C94">
        <w:rPr>
          <w:rFonts w:ascii="Candara" w:hAnsi="Candara"/>
          <w:b/>
          <w:sz w:val="24"/>
          <w:szCs w:val="24"/>
          <w:lang w:val="es-MX"/>
        </w:rPr>
        <w:t>2019</w:t>
      </w:r>
      <w:r w:rsidR="000B748E" w:rsidRPr="007F50E2">
        <w:rPr>
          <w:rFonts w:ascii="Candara" w:hAnsi="Candara"/>
          <w:b/>
          <w:sz w:val="24"/>
          <w:szCs w:val="24"/>
          <w:lang w:val="es-MX"/>
        </w:rPr>
        <w:t xml:space="preserve"> </w:t>
      </w:r>
      <w:r w:rsidRPr="007F50E2">
        <w:rPr>
          <w:rFonts w:ascii="Candara" w:hAnsi="Candara"/>
          <w:b/>
          <w:sz w:val="24"/>
          <w:szCs w:val="24"/>
          <w:lang w:val="es-MX"/>
        </w:rPr>
        <w:t>-</w:t>
      </w:r>
      <w:r w:rsidR="000B748E" w:rsidRPr="007F50E2">
        <w:rPr>
          <w:rFonts w:ascii="Candara" w:hAnsi="Candara"/>
          <w:b/>
          <w:sz w:val="24"/>
          <w:szCs w:val="24"/>
          <w:lang w:val="es-MX"/>
        </w:rPr>
        <w:t xml:space="preserve"> </w:t>
      </w:r>
      <w:r w:rsidR="00042C94">
        <w:rPr>
          <w:rFonts w:ascii="Candara" w:hAnsi="Candara"/>
          <w:b/>
          <w:sz w:val="24"/>
          <w:szCs w:val="24"/>
          <w:lang w:val="es-MX"/>
        </w:rPr>
        <w:t>2020</w:t>
      </w:r>
    </w:p>
    <w:p w:rsidR="00620488" w:rsidRPr="007F50E2" w:rsidRDefault="0061270D" w:rsidP="004A685A">
      <w:pPr>
        <w:jc w:val="center"/>
        <w:rPr>
          <w:rFonts w:ascii="Candara" w:hAnsi="Candara"/>
          <w:b/>
          <w:sz w:val="24"/>
          <w:szCs w:val="24"/>
          <w:lang w:val="es-MX"/>
        </w:rPr>
      </w:pPr>
      <w:r w:rsidRPr="007F50E2">
        <w:rPr>
          <w:rFonts w:ascii="Candara" w:hAnsi="Candara"/>
          <w:sz w:val="24"/>
          <w:szCs w:val="24"/>
        </w:rPr>
        <w:t xml:space="preserve"> </w:t>
      </w:r>
      <w:r w:rsidR="000B748E" w:rsidRPr="007F50E2">
        <w:rPr>
          <w:rFonts w:ascii="Candara" w:hAnsi="Candara"/>
          <w:sz w:val="24"/>
          <w:szCs w:val="24"/>
        </w:rPr>
        <w:t xml:space="preserve"> </w:t>
      </w:r>
      <w:r w:rsidR="00620488" w:rsidRPr="007F50E2">
        <w:rPr>
          <w:rFonts w:ascii="Candara" w:hAnsi="Candara"/>
          <w:b/>
          <w:sz w:val="24"/>
          <w:szCs w:val="24"/>
          <w:lang w:val="es-MX"/>
        </w:rPr>
        <w:t>(Millones de $)</w:t>
      </w:r>
    </w:p>
    <w:p w:rsidR="00FB2ADD" w:rsidRPr="007F50E2" w:rsidRDefault="005E0540" w:rsidP="004A685A">
      <w:pPr>
        <w:jc w:val="center"/>
        <w:rPr>
          <w:rFonts w:ascii="Candara" w:hAnsi="Candara"/>
          <w:b/>
          <w:sz w:val="24"/>
          <w:szCs w:val="24"/>
          <w:lang w:val="es-MX"/>
        </w:rPr>
      </w:pPr>
      <w:r w:rsidRPr="005E0540">
        <w:rPr>
          <w:noProof/>
        </w:rPr>
        <w:drawing>
          <wp:inline distT="0" distB="0" distL="0" distR="0" wp14:anchorId="07A6048E" wp14:editId="550CBC2A">
            <wp:extent cx="5971540" cy="558424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1540" cy="5584249"/>
                    </a:xfrm>
                    <a:prstGeom prst="rect">
                      <a:avLst/>
                    </a:prstGeom>
                    <a:noFill/>
                    <a:ln>
                      <a:noFill/>
                    </a:ln>
                  </pic:spPr>
                </pic:pic>
              </a:graphicData>
            </a:graphic>
          </wp:inline>
        </w:drawing>
      </w:r>
    </w:p>
    <w:p w:rsidR="0061270D" w:rsidRPr="007F50E2" w:rsidRDefault="0061270D" w:rsidP="004A685A">
      <w:pPr>
        <w:jc w:val="both"/>
        <w:rPr>
          <w:rFonts w:ascii="Candara" w:hAnsi="Candara"/>
          <w:sz w:val="24"/>
          <w:szCs w:val="24"/>
          <w:lang w:val="es-MX"/>
        </w:rPr>
      </w:pPr>
    </w:p>
    <w:p w:rsidR="00350D29" w:rsidRPr="007F50E2" w:rsidRDefault="00350D29" w:rsidP="004A685A">
      <w:pPr>
        <w:jc w:val="both"/>
        <w:rPr>
          <w:rFonts w:ascii="Candara" w:hAnsi="Candara"/>
          <w:sz w:val="24"/>
          <w:szCs w:val="24"/>
          <w:lang w:val="es-MX"/>
        </w:rPr>
      </w:pPr>
    </w:p>
    <w:p w:rsidR="00C463BB" w:rsidRDefault="00C463BB"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C17B7C" w:rsidRDefault="00C17B7C" w:rsidP="004A685A">
      <w:pPr>
        <w:jc w:val="center"/>
        <w:rPr>
          <w:rFonts w:ascii="Candara" w:hAnsi="Candara"/>
          <w:b/>
          <w:sz w:val="24"/>
          <w:szCs w:val="24"/>
          <w:lang w:val="es-MX"/>
        </w:rPr>
      </w:pPr>
    </w:p>
    <w:p w:rsidR="002207BF" w:rsidRDefault="002207BF" w:rsidP="004A685A">
      <w:pPr>
        <w:jc w:val="center"/>
        <w:rPr>
          <w:rFonts w:ascii="Candara" w:hAnsi="Candara"/>
          <w:b/>
          <w:sz w:val="24"/>
          <w:szCs w:val="24"/>
          <w:lang w:val="es-MX"/>
        </w:rPr>
      </w:pPr>
    </w:p>
    <w:p w:rsidR="002207BF" w:rsidRDefault="002207BF" w:rsidP="004A685A">
      <w:pPr>
        <w:jc w:val="center"/>
        <w:rPr>
          <w:rFonts w:ascii="Candara" w:hAnsi="Candara"/>
          <w:b/>
          <w:sz w:val="24"/>
          <w:szCs w:val="24"/>
          <w:lang w:val="es-MX"/>
        </w:rPr>
      </w:pPr>
    </w:p>
    <w:p w:rsidR="002207BF" w:rsidRDefault="002207BF"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2: </w:t>
      </w:r>
      <w:r w:rsidR="0052116C" w:rsidRPr="007F50E2">
        <w:rPr>
          <w:rFonts w:ascii="Candara" w:hAnsi="Candara"/>
          <w:b/>
          <w:sz w:val="24"/>
          <w:szCs w:val="24"/>
          <w:lang w:val="es-MX"/>
        </w:rPr>
        <w:t xml:space="preserve">Ejecución del SPNF a </w:t>
      </w:r>
      <w:r w:rsidR="006854AC">
        <w:rPr>
          <w:rFonts w:ascii="Candara" w:hAnsi="Candara"/>
          <w:b/>
          <w:sz w:val="24"/>
          <w:szCs w:val="24"/>
          <w:lang w:val="es-MX"/>
        </w:rPr>
        <w:t>diciembre</w:t>
      </w:r>
      <w:r w:rsidR="00092B07" w:rsidRPr="007F50E2">
        <w:rPr>
          <w:rFonts w:ascii="Candara" w:hAnsi="Candara"/>
          <w:b/>
          <w:sz w:val="24"/>
          <w:szCs w:val="24"/>
          <w:lang w:val="es-MX"/>
        </w:rPr>
        <w:t xml:space="preserve"> </w:t>
      </w:r>
      <w:r w:rsidR="00042C94">
        <w:rPr>
          <w:rFonts w:ascii="Candara" w:hAnsi="Candara"/>
          <w:b/>
          <w:sz w:val="24"/>
          <w:szCs w:val="24"/>
          <w:lang w:val="es-MX"/>
        </w:rPr>
        <w:t>2019</w:t>
      </w:r>
      <w:r w:rsidR="0052116C" w:rsidRPr="007F50E2">
        <w:rPr>
          <w:rFonts w:ascii="Candara" w:hAnsi="Candara"/>
          <w:b/>
          <w:sz w:val="24"/>
          <w:szCs w:val="24"/>
          <w:lang w:val="es-MX"/>
        </w:rPr>
        <w:t>-</w:t>
      </w:r>
      <w:r w:rsidR="00042C94">
        <w:rPr>
          <w:rFonts w:ascii="Candara" w:hAnsi="Candara"/>
          <w:b/>
          <w:sz w:val="24"/>
          <w:szCs w:val="24"/>
          <w:lang w:val="es-MX"/>
        </w:rPr>
        <w:t>2020</w:t>
      </w: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(Porcentajes del PIB)</w:t>
      </w:r>
    </w:p>
    <w:p w:rsidR="00FB2ADD" w:rsidRPr="007F50E2" w:rsidRDefault="002207BF" w:rsidP="004A685A">
      <w:pPr>
        <w:jc w:val="center"/>
        <w:rPr>
          <w:rFonts w:ascii="Candara" w:hAnsi="Candara"/>
          <w:b/>
          <w:sz w:val="24"/>
          <w:szCs w:val="24"/>
          <w:lang w:val="es-MX"/>
        </w:rPr>
      </w:pPr>
      <w:r w:rsidRPr="002207BF">
        <w:rPr>
          <w:noProof/>
        </w:rPr>
        <w:drawing>
          <wp:inline distT="0" distB="0" distL="0" distR="0" wp14:anchorId="7E6CF23C" wp14:editId="2BEE05D4">
            <wp:extent cx="5478162" cy="7383778"/>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9245" cy="7398716"/>
                    </a:xfrm>
                    <a:prstGeom prst="rect">
                      <a:avLst/>
                    </a:prstGeom>
                    <a:noFill/>
                    <a:ln>
                      <a:noFill/>
                    </a:ln>
                  </pic:spPr>
                </pic:pic>
              </a:graphicData>
            </a:graphic>
          </wp:inline>
        </w:drawing>
      </w:r>
    </w:p>
    <w:p w:rsidR="00123067" w:rsidRDefault="00123067" w:rsidP="004A685A">
      <w:pPr>
        <w:jc w:val="center"/>
        <w:rPr>
          <w:rFonts w:ascii="Candara" w:hAnsi="Candara"/>
          <w:b/>
          <w:sz w:val="24"/>
          <w:szCs w:val="24"/>
          <w:lang w:val="es-MX"/>
        </w:rPr>
      </w:pPr>
    </w:p>
    <w:p w:rsidR="00123067" w:rsidRDefault="00123067" w:rsidP="004A685A">
      <w:pPr>
        <w:jc w:val="center"/>
        <w:rPr>
          <w:rFonts w:ascii="Candara" w:hAnsi="Candara"/>
          <w:b/>
          <w:sz w:val="24"/>
          <w:szCs w:val="24"/>
          <w:lang w:val="es-MX"/>
        </w:rPr>
      </w:pPr>
    </w:p>
    <w:p w:rsidR="00EA48B9" w:rsidRDefault="00EA48B9"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Anexo 3</w:t>
      </w:r>
      <w:r w:rsidR="003D10A0" w:rsidRPr="007F50E2">
        <w:rPr>
          <w:rFonts w:ascii="Candara" w:hAnsi="Candara"/>
          <w:b/>
          <w:sz w:val="24"/>
          <w:szCs w:val="24"/>
          <w:lang w:val="es-MX"/>
        </w:rPr>
        <w:t>: Ingresos</w:t>
      </w:r>
      <w:r w:rsidRPr="007F50E2">
        <w:rPr>
          <w:rFonts w:ascii="Candara" w:hAnsi="Candara"/>
          <w:b/>
          <w:sz w:val="24"/>
          <w:szCs w:val="24"/>
          <w:lang w:val="es-MX"/>
        </w:rPr>
        <w:t xml:space="preserve"> </w:t>
      </w:r>
      <w:r w:rsidR="00AA301A" w:rsidRPr="007F50E2">
        <w:rPr>
          <w:rFonts w:ascii="Candara" w:hAnsi="Candara"/>
          <w:b/>
          <w:sz w:val="24"/>
          <w:szCs w:val="24"/>
          <w:lang w:val="es-MX"/>
        </w:rPr>
        <w:t xml:space="preserve">Totales </w:t>
      </w:r>
      <w:r w:rsidRPr="007F50E2">
        <w:rPr>
          <w:rFonts w:ascii="Candara" w:hAnsi="Candara"/>
          <w:b/>
          <w:sz w:val="24"/>
          <w:szCs w:val="24"/>
          <w:lang w:val="es-MX"/>
        </w:rPr>
        <w:t xml:space="preserve">del </w:t>
      </w:r>
      <w:r w:rsidR="00AA301A" w:rsidRPr="007F50E2">
        <w:rPr>
          <w:rFonts w:ascii="Candara" w:hAnsi="Candara"/>
          <w:b/>
          <w:sz w:val="24"/>
          <w:szCs w:val="24"/>
          <w:lang w:val="es-MX"/>
        </w:rPr>
        <w:t>Sector público No Financiero</w:t>
      </w:r>
      <w:r w:rsidR="000A0064" w:rsidRPr="007F50E2">
        <w:rPr>
          <w:rFonts w:ascii="Candara" w:hAnsi="Candara"/>
          <w:b/>
          <w:sz w:val="24"/>
          <w:szCs w:val="24"/>
          <w:lang w:val="es-MX"/>
        </w:rPr>
        <w:t xml:space="preserve"> </w:t>
      </w:r>
      <w:r w:rsidR="005767D6">
        <w:rPr>
          <w:rFonts w:ascii="Candara" w:hAnsi="Candara"/>
          <w:b/>
          <w:sz w:val="24"/>
          <w:szCs w:val="24"/>
          <w:lang w:val="es-MX"/>
        </w:rPr>
        <w:t xml:space="preserve">a </w:t>
      </w:r>
      <w:r w:rsidR="006854AC">
        <w:rPr>
          <w:rFonts w:ascii="Candara" w:hAnsi="Candara"/>
          <w:b/>
          <w:sz w:val="24"/>
          <w:szCs w:val="24"/>
          <w:lang w:val="es-MX"/>
        </w:rPr>
        <w:t>diciembre</w:t>
      </w:r>
      <w:r w:rsidR="005767D6">
        <w:rPr>
          <w:rFonts w:ascii="Candara" w:hAnsi="Candara"/>
          <w:b/>
          <w:sz w:val="24"/>
          <w:szCs w:val="24"/>
          <w:lang w:val="es-MX"/>
        </w:rPr>
        <w:t xml:space="preserve"> </w:t>
      </w:r>
      <w:r w:rsidR="00042C94">
        <w:rPr>
          <w:rFonts w:ascii="Candara" w:hAnsi="Candara"/>
          <w:b/>
          <w:sz w:val="24"/>
          <w:szCs w:val="24"/>
          <w:lang w:val="es-MX"/>
        </w:rPr>
        <w:t>2020</w:t>
      </w: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(Millones $)</w:t>
      </w:r>
    </w:p>
    <w:p w:rsidR="00620488" w:rsidRPr="007F50E2" w:rsidRDefault="002207BF" w:rsidP="004A685A">
      <w:pPr>
        <w:jc w:val="both"/>
        <w:rPr>
          <w:rFonts w:ascii="Candara" w:hAnsi="Candara"/>
          <w:sz w:val="24"/>
          <w:szCs w:val="24"/>
          <w:lang w:val="es-MX"/>
        </w:rPr>
      </w:pPr>
      <w:r w:rsidRPr="002207BF">
        <w:rPr>
          <w:noProof/>
        </w:rPr>
        <w:drawing>
          <wp:inline distT="0" distB="0" distL="0" distR="0" wp14:anchorId="603F3D4C" wp14:editId="6D580437">
            <wp:extent cx="5971540" cy="468866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1540" cy="4688667"/>
                    </a:xfrm>
                    <a:prstGeom prst="rect">
                      <a:avLst/>
                    </a:prstGeom>
                    <a:noFill/>
                    <a:ln>
                      <a:noFill/>
                    </a:ln>
                  </pic:spPr>
                </pic:pic>
              </a:graphicData>
            </a:graphic>
          </wp:inline>
        </w:drawing>
      </w:r>
    </w:p>
    <w:p w:rsidR="00620488" w:rsidRPr="007F50E2" w:rsidRDefault="00620488"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C87D60" w:rsidRPr="007F50E2" w:rsidRDefault="00C87D60" w:rsidP="004A685A">
      <w:pPr>
        <w:jc w:val="both"/>
        <w:rPr>
          <w:rFonts w:ascii="Candara" w:hAnsi="Candara"/>
          <w:sz w:val="24"/>
          <w:szCs w:val="24"/>
          <w:lang w:val="es-MX"/>
        </w:rPr>
      </w:pPr>
    </w:p>
    <w:p w:rsidR="00DC7D4F" w:rsidRPr="007F50E2" w:rsidRDefault="00DC7D4F" w:rsidP="004A685A">
      <w:pPr>
        <w:jc w:val="both"/>
        <w:rPr>
          <w:rFonts w:ascii="Candara" w:hAnsi="Candara"/>
          <w:sz w:val="24"/>
          <w:szCs w:val="24"/>
          <w:lang w:val="es-MX"/>
        </w:rPr>
      </w:pPr>
    </w:p>
    <w:p w:rsidR="00351330" w:rsidRDefault="00351330"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2207BF" w:rsidRDefault="002207BF" w:rsidP="004A685A">
      <w:pPr>
        <w:jc w:val="both"/>
        <w:rPr>
          <w:rFonts w:ascii="Candara" w:hAnsi="Candara"/>
          <w:sz w:val="24"/>
          <w:szCs w:val="24"/>
          <w:lang w:val="es-MX"/>
        </w:rPr>
      </w:pPr>
    </w:p>
    <w:p w:rsidR="002207BF" w:rsidRDefault="002207BF" w:rsidP="004A685A">
      <w:pPr>
        <w:jc w:val="both"/>
        <w:rPr>
          <w:rFonts w:ascii="Candara" w:hAnsi="Candara"/>
          <w:sz w:val="24"/>
          <w:szCs w:val="24"/>
          <w:lang w:val="es-MX"/>
        </w:rPr>
      </w:pPr>
    </w:p>
    <w:p w:rsidR="002207BF" w:rsidRDefault="002207BF" w:rsidP="004A685A">
      <w:pPr>
        <w:jc w:val="both"/>
        <w:rPr>
          <w:rFonts w:ascii="Candara" w:hAnsi="Candara"/>
          <w:sz w:val="24"/>
          <w:szCs w:val="24"/>
          <w:lang w:val="es-MX"/>
        </w:rPr>
      </w:pPr>
    </w:p>
    <w:p w:rsidR="000B7385" w:rsidRDefault="000B7385" w:rsidP="004A685A">
      <w:pPr>
        <w:jc w:val="both"/>
        <w:rPr>
          <w:rFonts w:ascii="Candara" w:hAnsi="Candara"/>
          <w:sz w:val="24"/>
          <w:szCs w:val="24"/>
          <w:lang w:val="es-MX"/>
        </w:rPr>
      </w:pPr>
    </w:p>
    <w:p w:rsidR="00C87D60" w:rsidRDefault="00C87D60" w:rsidP="00EC7984">
      <w:pPr>
        <w:jc w:val="center"/>
        <w:rPr>
          <w:rFonts w:ascii="Candara" w:hAnsi="Candara"/>
          <w:b/>
          <w:sz w:val="24"/>
          <w:szCs w:val="24"/>
          <w:lang w:val="es-MX"/>
        </w:rPr>
      </w:pPr>
      <w:r w:rsidRPr="007F50E2">
        <w:rPr>
          <w:rFonts w:ascii="Candara" w:hAnsi="Candara"/>
          <w:b/>
          <w:sz w:val="24"/>
          <w:szCs w:val="24"/>
          <w:lang w:val="es-MX"/>
        </w:rPr>
        <w:lastRenderedPageBreak/>
        <w:t xml:space="preserve">Anexo 4: Ejecución de la Inversión Pública del SPNF </w:t>
      </w:r>
      <w:r w:rsidR="00F05512" w:rsidRPr="007F50E2">
        <w:rPr>
          <w:rFonts w:ascii="Candara" w:hAnsi="Candara"/>
          <w:b/>
          <w:sz w:val="24"/>
          <w:szCs w:val="24"/>
          <w:lang w:val="es-MX"/>
        </w:rPr>
        <w:t xml:space="preserve">a </w:t>
      </w:r>
      <w:r w:rsidR="006854AC">
        <w:rPr>
          <w:rFonts w:ascii="Candara" w:hAnsi="Candara"/>
          <w:b/>
          <w:sz w:val="24"/>
          <w:szCs w:val="24"/>
          <w:lang w:val="es-MX"/>
        </w:rPr>
        <w:t>diciembre</w:t>
      </w:r>
      <w:r w:rsidR="00BE7CB5">
        <w:rPr>
          <w:rFonts w:ascii="Candara" w:hAnsi="Candara"/>
          <w:b/>
          <w:sz w:val="24"/>
          <w:szCs w:val="24"/>
          <w:lang w:val="es-MX"/>
        </w:rPr>
        <w:t xml:space="preserve"> de</w:t>
      </w:r>
      <w:r w:rsidR="00781123" w:rsidRPr="007F50E2">
        <w:rPr>
          <w:rFonts w:ascii="Candara" w:hAnsi="Candara"/>
          <w:b/>
          <w:sz w:val="24"/>
          <w:szCs w:val="24"/>
          <w:lang w:val="es-MX"/>
        </w:rPr>
        <w:t xml:space="preserve"> </w:t>
      </w:r>
      <w:r w:rsidR="00042C94">
        <w:rPr>
          <w:rFonts w:ascii="Candara" w:hAnsi="Candara"/>
          <w:b/>
          <w:sz w:val="24"/>
          <w:szCs w:val="24"/>
          <w:lang w:val="es-MX"/>
        </w:rPr>
        <w:t>2020</w:t>
      </w:r>
    </w:p>
    <w:p w:rsidR="003B6415" w:rsidRPr="007F50E2" w:rsidRDefault="003B6415" w:rsidP="003B6415">
      <w:pPr>
        <w:jc w:val="center"/>
        <w:rPr>
          <w:rFonts w:ascii="Candara" w:hAnsi="Candara"/>
          <w:b/>
          <w:sz w:val="24"/>
          <w:szCs w:val="24"/>
          <w:lang w:val="es-MX"/>
        </w:rPr>
      </w:pPr>
      <w:r>
        <w:rPr>
          <w:rFonts w:ascii="Candara" w:hAnsi="Candara"/>
          <w:b/>
          <w:sz w:val="24"/>
          <w:szCs w:val="24"/>
          <w:lang w:val="es-MX"/>
        </w:rPr>
        <w:t>(En millones de US$)</w:t>
      </w:r>
    </w:p>
    <w:p w:rsidR="00C87D60" w:rsidRDefault="000B7385" w:rsidP="003B6415">
      <w:pPr>
        <w:jc w:val="center"/>
        <w:rPr>
          <w:rFonts w:ascii="Candara" w:hAnsi="Candara"/>
          <w:b/>
          <w:sz w:val="24"/>
          <w:szCs w:val="24"/>
          <w:lang w:val="es-MX"/>
        </w:rPr>
      </w:pPr>
      <w:r w:rsidRPr="000B7385">
        <w:rPr>
          <w:noProof/>
        </w:rPr>
        <w:drawing>
          <wp:inline distT="0" distB="0" distL="0" distR="0" wp14:anchorId="1B1AB8D4" wp14:editId="602D0783">
            <wp:extent cx="4600805" cy="7741920"/>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7593" cy="7770169"/>
                    </a:xfrm>
                    <a:prstGeom prst="rect">
                      <a:avLst/>
                    </a:prstGeom>
                    <a:noFill/>
                    <a:ln>
                      <a:noFill/>
                    </a:ln>
                  </pic:spPr>
                </pic:pic>
              </a:graphicData>
            </a:graphic>
          </wp:inline>
        </w:drawing>
      </w:r>
    </w:p>
    <w:p w:rsidR="00EA48B9" w:rsidRDefault="00EA48B9" w:rsidP="004A685A">
      <w:pPr>
        <w:jc w:val="center"/>
        <w:rPr>
          <w:rFonts w:ascii="Candara" w:hAnsi="Candara"/>
          <w:b/>
          <w:sz w:val="24"/>
          <w:szCs w:val="24"/>
          <w:lang w:val="es-MX"/>
        </w:rPr>
      </w:pPr>
    </w:p>
    <w:p w:rsidR="00EA48B9" w:rsidRDefault="00EA48B9" w:rsidP="004A685A">
      <w:pPr>
        <w:jc w:val="center"/>
        <w:rPr>
          <w:rFonts w:ascii="Candara" w:hAnsi="Candara"/>
          <w:b/>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t>Anexo</w:t>
      </w:r>
      <w:r w:rsidR="004066E9" w:rsidRPr="007F50E2">
        <w:rPr>
          <w:rFonts w:ascii="Candara" w:hAnsi="Candara"/>
          <w:b/>
          <w:sz w:val="24"/>
          <w:szCs w:val="24"/>
          <w:lang w:val="es-MX"/>
        </w:rPr>
        <w:t xml:space="preserve"> </w:t>
      </w:r>
      <w:r w:rsidRPr="007F50E2">
        <w:rPr>
          <w:rFonts w:ascii="Candara" w:hAnsi="Candara"/>
          <w:b/>
          <w:sz w:val="24"/>
          <w:szCs w:val="24"/>
          <w:lang w:val="es-MX"/>
        </w:rPr>
        <w:t xml:space="preserve">5: Saldo de la Deuda del SPNF a </w:t>
      </w:r>
      <w:r w:rsidR="006854AC">
        <w:rPr>
          <w:rFonts w:ascii="Candara" w:hAnsi="Candara"/>
          <w:b/>
          <w:sz w:val="24"/>
          <w:szCs w:val="24"/>
          <w:lang w:val="es-MX"/>
        </w:rPr>
        <w:t>diciembre</w:t>
      </w:r>
      <w:r w:rsidR="00092B07" w:rsidRPr="007F50E2">
        <w:rPr>
          <w:rFonts w:ascii="Candara" w:hAnsi="Candara"/>
          <w:b/>
          <w:sz w:val="24"/>
          <w:szCs w:val="24"/>
          <w:lang w:val="es-MX"/>
        </w:rPr>
        <w:t xml:space="preserve"> </w:t>
      </w:r>
      <w:r w:rsidR="00042C94">
        <w:rPr>
          <w:rFonts w:ascii="Candara" w:hAnsi="Candara"/>
          <w:b/>
          <w:sz w:val="24"/>
          <w:szCs w:val="24"/>
          <w:lang w:val="es-MX"/>
        </w:rPr>
        <w:t>2019</w:t>
      </w:r>
      <w:r w:rsidRPr="007F50E2">
        <w:rPr>
          <w:rFonts w:ascii="Candara" w:hAnsi="Candara"/>
          <w:b/>
          <w:sz w:val="24"/>
          <w:szCs w:val="24"/>
          <w:lang w:val="es-MX"/>
        </w:rPr>
        <w:t>-</w:t>
      </w:r>
      <w:r w:rsidR="00042C94">
        <w:rPr>
          <w:rFonts w:ascii="Candara" w:hAnsi="Candara"/>
          <w:b/>
          <w:sz w:val="24"/>
          <w:szCs w:val="24"/>
          <w:lang w:val="es-MX"/>
        </w:rPr>
        <w:t>2020</w:t>
      </w:r>
    </w:p>
    <w:p w:rsidR="00620488" w:rsidRPr="007F50E2"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 y % del PIB)</w:t>
      </w:r>
    </w:p>
    <w:p w:rsidR="00DF51C4" w:rsidRPr="007F50E2" w:rsidRDefault="001F6DC0" w:rsidP="004A685A">
      <w:pPr>
        <w:jc w:val="center"/>
        <w:rPr>
          <w:rFonts w:ascii="Candara" w:hAnsi="Candara"/>
          <w:b/>
          <w:sz w:val="24"/>
          <w:szCs w:val="24"/>
          <w:lang w:val="es-MX"/>
        </w:rPr>
      </w:pPr>
      <w:r w:rsidRPr="001F6DC0">
        <w:rPr>
          <w:noProof/>
        </w:rPr>
        <w:drawing>
          <wp:inline distT="0" distB="0" distL="0" distR="0" wp14:anchorId="30E78D7E" wp14:editId="763CD93E">
            <wp:extent cx="5713484" cy="7276780"/>
            <wp:effectExtent l="0" t="0" r="190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7929" cy="7282442"/>
                    </a:xfrm>
                    <a:prstGeom prst="rect">
                      <a:avLst/>
                    </a:prstGeom>
                    <a:noFill/>
                    <a:ln>
                      <a:noFill/>
                    </a:ln>
                  </pic:spPr>
                </pic:pic>
              </a:graphicData>
            </a:graphic>
          </wp:inline>
        </w:drawing>
      </w:r>
    </w:p>
    <w:p w:rsidR="00654098" w:rsidRPr="007F50E2" w:rsidRDefault="00654098" w:rsidP="00E662B4">
      <w:pPr>
        <w:jc w:val="center"/>
        <w:rPr>
          <w:rFonts w:ascii="Candara" w:hAnsi="Candara"/>
          <w:sz w:val="24"/>
          <w:szCs w:val="24"/>
          <w:lang w:val="es-MX"/>
        </w:rPr>
      </w:pPr>
    </w:p>
    <w:p w:rsidR="004066E9" w:rsidRPr="007F50E2" w:rsidRDefault="004066E9" w:rsidP="004A685A">
      <w:pPr>
        <w:jc w:val="both"/>
        <w:rPr>
          <w:rFonts w:ascii="Candara" w:hAnsi="Candara"/>
          <w:sz w:val="24"/>
          <w:szCs w:val="24"/>
          <w:lang w:val="es-MX"/>
        </w:rPr>
      </w:pPr>
    </w:p>
    <w:p w:rsidR="00620488" w:rsidRPr="007F50E2" w:rsidRDefault="00620488" w:rsidP="004A685A">
      <w:pPr>
        <w:jc w:val="center"/>
        <w:rPr>
          <w:rFonts w:ascii="Candara" w:hAnsi="Candara"/>
          <w:b/>
          <w:sz w:val="24"/>
          <w:szCs w:val="24"/>
          <w:lang w:val="es-MX"/>
        </w:rPr>
      </w:pPr>
      <w:r w:rsidRPr="007F50E2">
        <w:rPr>
          <w:rFonts w:ascii="Candara" w:hAnsi="Candara"/>
          <w:b/>
          <w:sz w:val="24"/>
          <w:szCs w:val="24"/>
          <w:lang w:val="es-MX"/>
        </w:rPr>
        <w:lastRenderedPageBreak/>
        <w:t xml:space="preserve">Anexo 6: Saldo, colocaciones y pagos de LETES </w:t>
      </w:r>
      <w:r w:rsidR="00F05512" w:rsidRPr="007F50E2">
        <w:rPr>
          <w:rFonts w:ascii="Candara" w:hAnsi="Candara"/>
          <w:b/>
          <w:sz w:val="24"/>
          <w:szCs w:val="24"/>
          <w:lang w:val="es-MX"/>
        </w:rPr>
        <w:t xml:space="preserve">a </w:t>
      </w:r>
      <w:r w:rsidR="006854AC">
        <w:rPr>
          <w:rFonts w:ascii="Candara" w:hAnsi="Candara"/>
          <w:b/>
          <w:sz w:val="24"/>
          <w:szCs w:val="24"/>
          <w:lang w:val="es-MX"/>
        </w:rPr>
        <w:t>diciembre</w:t>
      </w:r>
      <w:r w:rsidR="0006124F" w:rsidRPr="007F50E2">
        <w:rPr>
          <w:rFonts w:ascii="Candara" w:hAnsi="Candara"/>
          <w:b/>
          <w:sz w:val="24"/>
          <w:szCs w:val="24"/>
          <w:lang w:val="es-MX"/>
        </w:rPr>
        <w:t xml:space="preserve"> </w:t>
      </w:r>
      <w:r w:rsidR="00042C94">
        <w:rPr>
          <w:rFonts w:ascii="Candara" w:hAnsi="Candara"/>
          <w:b/>
          <w:sz w:val="24"/>
          <w:szCs w:val="24"/>
          <w:lang w:val="es-MX"/>
        </w:rPr>
        <w:t>2020</w:t>
      </w:r>
      <w:r w:rsidR="0006124F" w:rsidRPr="007F50E2">
        <w:rPr>
          <w:rFonts w:ascii="Candara" w:hAnsi="Candara"/>
          <w:b/>
          <w:sz w:val="24"/>
          <w:szCs w:val="24"/>
          <w:lang w:val="es-MX"/>
        </w:rPr>
        <w:t xml:space="preserve"> </w:t>
      </w:r>
    </w:p>
    <w:p w:rsidR="00620488" w:rsidRPr="007F50E2" w:rsidRDefault="004066E9" w:rsidP="004A685A">
      <w:pPr>
        <w:jc w:val="center"/>
        <w:rPr>
          <w:rFonts w:ascii="Candara" w:hAnsi="Candara"/>
          <w:b/>
          <w:sz w:val="24"/>
          <w:szCs w:val="24"/>
          <w:lang w:val="es-MX"/>
        </w:rPr>
      </w:pPr>
      <w:r w:rsidRPr="007F50E2">
        <w:rPr>
          <w:rFonts w:ascii="Candara" w:hAnsi="Candara"/>
          <w:sz w:val="24"/>
          <w:szCs w:val="24"/>
        </w:rPr>
        <w:t xml:space="preserve"> </w:t>
      </w:r>
      <w:r w:rsidR="00620488" w:rsidRPr="007F50E2">
        <w:rPr>
          <w:rFonts w:ascii="Candara" w:hAnsi="Candara"/>
          <w:b/>
          <w:sz w:val="24"/>
          <w:szCs w:val="24"/>
          <w:lang w:val="es-MX"/>
        </w:rPr>
        <w:t>(Millones de $)</w:t>
      </w:r>
      <w:bookmarkEnd w:id="50"/>
    </w:p>
    <w:p w:rsidR="00654098" w:rsidRPr="007F50E2" w:rsidRDefault="000B7385" w:rsidP="002C79A8">
      <w:pPr>
        <w:jc w:val="center"/>
        <w:rPr>
          <w:rFonts w:ascii="Candara" w:hAnsi="Candara"/>
          <w:sz w:val="24"/>
          <w:szCs w:val="24"/>
          <w:lang w:val="es-MX"/>
        </w:rPr>
      </w:pPr>
      <w:r w:rsidRPr="000B7385">
        <w:rPr>
          <w:noProof/>
        </w:rPr>
        <w:drawing>
          <wp:inline distT="0" distB="0" distL="0" distR="0" wp14:anchorId="1E84208C" wp14:editId="7D3EF396">
            <wp:extent cx="5971540" cy="6256993"/>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1540" cy="6256993"/>
                    </a:xfrm>
                    <a:prstGeom prst="rect">
                      <a:avLst/>
                    </a:prstGeom>
                    <a:noFill/>
                    <a:ln>
                      <a:noFill/>
                    </a:ln>
                  </pic:spPr>
                </pic:pic>
              </a:graphicData>
            </a:graphic>
          </wp:inline>
        </w:drawing>
      </w:r>
    </w:p>
    <w:sectPr w:rsidR="00654098" w:rsidRPr="007F50E2" w:rsidSect="00D703ED">
      <w:footerReference w:type="default" r:id="rId32"/>
      <w:pgSz w:w="12240" w:h="15840"/>
      <w:pgMar w:top="1418" w:right="1418" w:bottom="125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FBA" w:rsidRDefault="003E1FBA" w:rsidP="00610721">
      <w:r>
        <w:separator/>
      </w:r>
    </w:p>
  </w:endnote>
  <w:endnote w:type="continuationSeparator" w:id="0">
    <w:p w:rsidR="003E1FBA" w:rsidRDefault="003E1FBA" w:rsidP="0061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13C" w:rsidRDefault="0031413C">
    <w:pPr>
      <w:pStyle w:val="Footer"/>
      <w:jc w:val="center"/>
    </w:pPr>
    <w:r>
      <w:fldChar w:fldCharType="begin"/>
    </w:r>
    <w:r>
      <w:instrText>PAGE   \* MERGEFORMAT</w:instrText>
    </w:r>
    <w:r>
      <w:fldChar w:fldCharType="separate"/>
    </w:r>
    <w:r w:rsidRPr="00CD0120">
      <w:rPr>
        <w:noProof/>
        <w:lang w:val="es-ES"/>
      </w:rPr>
      <w:t>26</w:t>
    </w:r>
    <w:r>
      <w:fldChar w:fldCharType="end"/>
    </w:r>
  </w:p>
  <w:p w:rsidR="0031413C" w:rsidRDefault="00314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FBA" w:rsidRDefault="003E1FBA" w:rsidP="00610721">
      <w:r>
        <w:separator/>
      </w:r>
    </w:p>
  </w:footnote>
  <w:footnote w:type="continuationSeparator" w:id="0">
    <w:p w:rsidR="003E1FBA" w:rsidRDefault="003E1FBA" w:rsidP="00610721">
      <w:r>
        <w:continuationSeparator/>
      </w:r>
    </w:p>
  </w:footnote>
  <w:footnote w:id="1">
    <w:p w:rsidR="0031413C" w:rsidRPr="0077621C" w:rsidRDefault="0031413C">
      <w:pPr>
        <w:pStyle w:val="FootnoteText"/>
      </w:pPr>
      <w:r>
        <w:rPr>
          <w:rStyle w:val="FootnoteReference"/>
        </w:rPr>
        <w:footnoteRef/>
      </w:r>
      <w:r>
        <w:t xml:space="preserve"> Esta calculada sobre un PIB menor con respecto al reportado por el BCR en 2019.</w:t>
      </w:r>
    </w:p>
  </w:footnote>
  <w:footnote w:id="2">
    <w:p w:rsidR="0031413C" w:rsidRPr="00745752" w:rsidRDefault="0031413C">
      <w:pPr>
        <w:pStyle w:val="FootnoteText"/>
      </w:pPr>
      <w:r>
        <w:rPr>
          <w:rStyle w:val="FootnoteReference"/>
        </w:rPr>
        <w:footnoteRef/>
      </w:r>
      <w:r>
        <w:t xml:space="preserve"> De la colocación, $838.7 millones fueron comprados por acreedores externos y $161.4 millones fueron adquiridos por el mercado local.</w:t>
      </w:r>
    </w:p>
  </w:footnote>
  <w:footnote w:id="3">
    <w:p w:rsidR="0031413C" w:rsidRPr="00C7623F" w:rsidRDefault="0031413C">
      <w:pPr>
        <w:pStyle w:val="FootnoteText"/>
        <w:rPr>
          <w:lang w:val="es-SV"/>
        </w:rPr>
      </w:pPr>
      <w:r>
        <w:rPr>
          <w:rStyle w:val="FootnoteReference"/>
        </w:rPr>
        <w:footnoteRef/>
      </w:r>
      <w:r>
        <w:t xml:space="preserve"> </w:t>
      </w:r>
      <w:r w:rsidRPr="00C7623F">
        <w:rPr>
          <w:rFonts w:ascii="Candara" w:hAnsi="Candara"/>
          <w:i/>
        </w:rPr>
        <w:t>excluye el pago de intereses de la deuda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C32"/>
    <w:multiLevelType w:val="hybridMultilevel"/>
    <w:tmpl w:val="AAB0A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602"/>
    <w:multiLevelType w:val="hybridMultilevel"/>
    <w:tmpl w:val="A6BC2F18"/>
    <w:lvl w:ilvl="0" w:tplc="8E9A18B2">
      <w:numFmt w:val="bullet"/>
      <w:lvlText w:val="-"/>
      <w:lvlJc w:val="left"/>
      <w:pPr>
        <w:ind w:left="720" w:hanging="360"/>
      </w:pPr>
      <w:rPr>
        <w:rFonts w:ascii="Candara" w:eastAsia="Times New Roman" w:hAnsi="Candar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5D6395"/>
    <w:multiLevelType w:val="hybridMultilevel"/>
    <w:tmpl w:val="DF14B9F6"/>
    <w:lvl w:ilvl="0" w:tplc="CC30CB54">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1534BB"/>
    <w:multiLevelType w:val="hybridMultilevel"/>
    <w:tmpl w:val="6298C25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4" w15:restartNumberingAfterBreak="0">
    <w:nsid w:val="22BB2911"/>
    <w:multiLevelType w:val="hybridMultilevel"/>
    <w:tmpl w:val="F90C0182"/>
    <w:lvl w:ilvl="0" w:tplc="4E36E7EC">
      <w:start w:val="2"/>
      <w:numFmt w:val="bullet"/>
      <w:lvlText w:val="-"/>
      <w:lvlJc w:val="left"/>
      <w:pPr>
        <w:ind w:left="305" w:hanging="360"/>
      </w:pPr>
      <w:rPr>
        <w:rFonts w:ascii="Candara" w:eastAsia="Times New Roman" w:hAnsi="Candara" w:cs="Times New Roman" w:hint="default"/>
      </w:rPr>
    </w:lvl>
    <w:lvl w:ilvl="1" w:tplc="440A0003" w:tentative="1">
      <w:start w:val="1"/>
      <w:numFmt w:val="bullet"/>
      <w:lvlText w:val="o"/>
      <w:lvlJc w:val="left"/>
      <w:pPr>
        <w:ind w:left="1025" w:hanging="360"/>
      </w:pPr>
      <w:rPr>
        <w:rFonts w:ascii="Courier New" w:hAnsi="Courier New" w:cs="Courier New" w:hint="default"/>
      </w:rPr>
    </w:lvl>
    <w:lvl w:ilvl="2" w:tplc="440A0005" w:tentative="1">
      <w:start w:val="1"/>
      <w:numFmt w:val="bullet"/>
      <w:lvlText w:val=""/>
      <w:lvlJc w:val="left"/>
      <w:pPr>
        <w:ind w:left="1745" w:hanging="360"/>
      </w:pPr>
      <w:rPr>
        <w:rFonts w:ascii="Wingdings" w:hAnsi="Wingdings" w:hint="default"/>
      </w:rPr>
    </w:lvl>
    <w:lvl w:ilvl="3" w:tplc="440A0001" w:tentative="1">
      <w:start w:val="1"/>
      <w:numFmt w:val="bullet"/>
      <w:lvlText w:val=""/>
      <w:lvlJc w:val="left"/>
      <w:pPr>
        <w:ind w:left="2465" w:hanging="360"/>
      </w:pPr>
      <w:rPr>
        <w:rFonts w:ascii="Symbol" w:hAnsi="Symbol" w:hint="default"/>
      </w:rPr>
    </w:lvl>
    <w:lvl w:ilvl="4" w:tplc="440A0003" w:tentative="1">
      <w:start w:val="1"/>
      <w:numFmt w:val="bullet"/>
      <w:lvlText w:val="o"/>
      <w:lvlJc w:val="left"/>
      <w:pPr>
        <w:ind w:left="3185" w:hanging="360"/>
      </w:pPr>
      <w:rPr>
        <w:rFonts w:ascii="Courier New" w:hAnsi="Courier New" w:cs="Courier New" w:hint="default"/>
      </w:rPr>
    </w:lvl>
    <w:lvl w:ilvl="5" w:tplc="440A0005" w:tentative="1">
      <w:start w:val="1"/>
      <w:numFmt w:val="bullet"/>
      <w:lvlText w:val=""/>
      <w:lvlJc w:val="left"/>
      <w:pPr>
        <w:ind w:left="3905" w:hanging="360"/>
      </w:pPr>
      <w:rPr>
        <w:rFonts w:ascii="Wingdings" w:hAnsi="Wingdings" w:hint="default"/>
      </w:rPr>
    </w:lvl>
    <w:lvl w:ilvl="6" w:tplc="440A0001" w:tentative="1">
      <w:start w:val="1"/>
      <w:numFmt w:val="bullet"/>
      <w:lvlText w:val=""/>
      <w:lvlJc w:val="left"/>
      <w:pPr>
        <w:ind w:left="4625" w:hanging="360"/>
      </w:pPr>
      <w:rPr>
        <w:rFonts w:ascii="Symbol" w:hAnsi="Symbol" w:hint="default"/>
      </w:rPr>
    </w:lvl>
    <w:lvl w:ilvl="7" w:tplc="440A0003" w:tentative="1">
      <w:start w:val="1"/>
      <w:numFmt w:val="bullet"/>
      <w:lvlText w:val="o"/>
      <w:lvlJc w:val="left"/>
      <w:pPr>
        <w:ind w:left="5345" w:hanging="360"/>
      </w:pPr>
      <w:rPr>
        <w:rFonts w:ascii="Courier New" w:hAnsi="Courier New" w:cs="Courier New" w:hint="default"/>
      </w:rPr>
    </w:lvl>
    <w:lvl w:ilvl="8" w:tplc="440A0005" w:tentative="1">
      <w:start w:val="1"/>
      <w:numFmt w:val="bullet"/>
      <w:lvlText w:val=""/>
      <w:lvlJc w:val="left"/>
      <w:pPr>
        <w:ind w:left="6065" w:hanging="360"/>
      </w:pPr>
      <w:rPr>
        <w:rFonts w:ascii="Wingdings" w:hAnsi="Wingdings" w:hint="default"/>
      </w:rPr>
    </w:lvl>
  </w:abstractNum>
  <w:abstractNum w:abstractNumId="5" w15:restartNumberingAfterBreak="0">
    <w:nsid w:val="240F0F22"/>
    <w:multiLevelType w:val="hybridMultilevel"/>
    <w:tmpl w:val="CC28AE1A"/>
    <w:lvl w:ilvl="0" w:tplc="DE96AF40">
      <w:start w:val="5"/>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832357"/>
    <w:multiLevelType w:val="hybridMultilevel"/>
    <w:tmpl w:val="FD8ECF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C318F4"/>
    <w:multiLevelType w:val="hybridMultilevel"/>
    <w:tmpl w:val="D4A43B78"/>
    <w:lvl w:ilvl="0" w:tplc="1B5AAC98">
      <w:numFmt w:val="bullet"/>
      <w:lvlText w:val="-"/>
      <w:lvlJc w:val="left"/>
      <w:pPr>
        <w:ind w:left="720" w:hanging="360"/>
      </w:pPr>
      <w:rPr>
        <w:rFonts w:ascii="Arial" w:eastAsia="Times New Roman" w:hAnsi="Arial" w:cs="Arial"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9C0649"/>
    <w:multiLevelType w:val="hybridMultilevel"/>
    <w:tmpl w:val="8AA6A6F0"/>
    <w:lvl w:ilvl="0" w:tplc="440A0017">
      <w:start w:val="1"/>
      <w:numFmt w:val="lowerLetter"/>
      <w:lvlText w:val="%1)"/>
      <w:lvlJc w:val="left"/>
      <w:pPr>
        <w:ind w:left="786"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FA270A0"/>
    <w:multiLevelType w:val="hybridMultilevel"/>
    <w:tmpl w:val="CDFCB7C0"/>
    <w:lvl w:ilvl="0" w:tplc="440A0001">
      <w:start w:val="1"/>
      <w:numFmt w:val="bullet"/>
      <w:lvlText w:val=""/>
      <w:lvlJc w:val="left"/>
      <w:pPr>
        <w:ind w:left="821" w:hanging="360"/>
      </w:pPr>
      <w:rPr>
        <w:rFonts w:ascii="Symbol" w:hAnsi="Symbol" w:hint="default"/>
      </w:rPr>
    </w:lvl>
    <w:lvl w:ilvl="1" w:tplc="440A0003" w:tentative="1">
      <w:start w:val="1"/>
      <w:numFmt w:val="bullet"/>
      <w:lvlText w:val="o"/>
      <w:lvlJc w:val="left"/>
      <w:pPr>
        <w:ind w:left="1541" w:hanging="360"/>
      </w:pPr>
      <w:rPr>
        <w:rFonts w:ascii="Courier New" w:hAnsi="Courier New" w:cs="Courier New" w:hint="default"/>
      </w:rPr>
    </w:lvl>
    <w:lvl w:ilvl="2" w:tplc="440A0005" w:tentative="1">
      <w:start w:val="1"/>
      <w:numFmt w:val="bullet"/>
      <w:lvlText w:val=""/>
      <w:lvlJc w:val="left"/>
      <w:pPr>
        <w:ind w:left="2261" w:hanging="360"/>
      </w:pPr>
      <w:rPr>
        <w:rFonts w:ascii="Wingdings" w:hAnsi="Wingdings" w:hint="default"/>
      </w:rPr>
    </w:lvl>
    <w:lvl w:ilvl="3" w:tplc="440A0001" w:tentative="1">
      <w:start w:val="1"/>
      <w:numFmt w:val="bullet"/>
      <w:lvlText w:val=""/>
      <w:lvlJc w:val="left"/>
      <w:pPr>
        <w:ind w:left="2981" w:hanging="360"/>
      </w:pPr>
      <w:rPr>
        <w:rFonts w:ascii="Symbol" w:hAnsi="Symbol" w:hint="default"/>
      </w:rPr>
    </w:lvl>
    <w:lvl w:ilvl="4" w:tplc="440A0003" w:tentative="1">
      <w:start w:val="1"/>
      <w:numFmt w:val="bullet"/>
      <w:lvlText w:val="o"/>
      <w:lvlJc w:val="left"/>
      <w:pPr>
        <w:ind w:left="3701" w:hanging="360"/>
      </w:pPr>
      <w:rPr>
        <w:rFonts w:ascii="Courier New" w:hAnsi="Courier New" w:cs="Courier New" w:hint="default"/>
      </w:rPr>
    </w:lvl>
    <w:lvl w:ilvl="5" w:tplc="440A0005" w:tentative="1">
      <w:start w:val="1"/>
      <w:numFmt w:val="bullet"/>
      <w:lvlText w:val=""/>
      <w:lvlJc w:val="left"/>
      <w:pPr>
        <w:ind w:left="4421" w:hanging="360"/>
      </w:pPr>
      <w:rPr>
        <w:rFonts w:ascii="Wingdings" w:hAnsi="Wingdings" w:hint="default"/>
      </w:rPr>
    </w:lvl>
    <w:lvl w:ilvl="6" w:tplc="440A0001" w:tentative="1">
      <w:start w:val="1"/>
      <w:numFmt w:val="bullet"/>
      <w:lvlText w:val=""/>
      <w:lvlJc w:val="left"/>
      <w:pPr>
        <w:ind w:left="5141" w:hanging="360"/>
      </w:pPr>
      <w:rPr>
        <w:rFonts w:ascii="Symbol" w:hAnsi="Symbol" w:hint="default"/>
      </w:rPr>
    </w:lvl>
    <w:lvl w:ilvl="7" w:tplc="440A0003" w:tentative="1">
      <w:start w:val="1"/>
      <w:numFmt w:val="bullet"/>
      <w:lvlText w:val="o"/>
      <w:lvlJc w:val="left"/>
      <w:pPr>
        <w:ind w:left="5861" w:hanging="360"/>
      </w:pPr>
      <w:rPr>
        <w:rFonts w:ascii="Courier New" w:hAnsi="Courier New" w:cs="Courier New" w:hint="default"/>
      </w:rPr>
    </w:lvl>
    <w:lvl w:ilvl="8" w:tplc="440A0005" w:tentative="1">
      <w:start w:val="1"/>
      <w:numFmt w:val="bullet"/>
      <w:lvlText w:val=""/>
      <w:lvlJc w:val="left"/>
      <w:pPr>
        <w:ind w:left="6581" w:hanging="360"/>
      </w:pPr>
      <w:rPr>
        <w:rFonts w:ascii="Wingdings" w:hAnsi="Wingdings" w:hint="default"/>
      </w:rPr>
    </w:lvl>
  </w:abstractNum>
  <w:abstractNum w:abstractNumId="10" w15:restartNumberingAfterBreak="0">
    <w:nsid w:val="457E389F"/>
    <w:multiLevelType w:val="hybridMultilevel"/>
    <w:tmpl w:val="8402E16C"/>
    <w:lvl w:ilvl="0" w:tplc="4314ECD6">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968704B"/>
    <w:multiLevelType w:val="multilevel"/>
    <w:tmpl w:val="57BAFE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A2745"/>
    <w:multiLevelType w:val="hybridMultilevel"/>
    <w:tmpl w:val="BEDC7E22"/>
    <w:lvl w:ilvl="0" w:tplc="D116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2C507E1"/>
    <w:multiLevelType w:val="hybridMultilevel"/>
    <w:tmpl w:val="7E8A0978"/>
    <w:lvl w:ilvl="0" w:tplc="98F0C37C">
      <w:start w:val="1"/>
      <w:numFmt w:val="lowerLetter"/>
      <w:lvlText w:val="%1)"/>
      <w:lvlJc w:val="left"/>
      <w:pPr>
        <w:ind w:left="644" w:hanging="360"/>
      </w:pPr>
      <w:rPr>
        <w:rFonts w:hint="default"/>
        <w:color w:val="auto"/>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 w15:restartNumberingAfterBreak="0">
    <w:nsid w:val="5EBE67EF"/>
    <w:multiLevelType w:val="hybridMultilevel"/>
    <w:tmpl w:val="F8E89888"/>
    <w:lvl w:ilvl="0" w:tplc="440A0001">
      <w:start w:val="1"/>
      <w:numFmt w:val="bullet"/>
      <w:lvlText w:val=""/>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5" w15:restartNumberingAfterBreak="0">
    <w:nsid w:val="67032790"/>
    <w:multiLevelType w:val="hybridMultilevel"/>
    <w:tmpl w:val="C680A566"/>
    <w:lvl w:ilvl="0" w:tplc="DA36EB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E5A3AD1"/>
    <w:multiLevelType w:val="hybridMultilevel"/>
    <w:tmpl w:val="548E3404"/>
    <w:lvl w:ilvl="0" w:tplc="E710CCE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846B4"/>
    <w:multiLevelType w:val="hybridMultilevel"/>
    <w:tmpl w:val="185CFC94"/>
    <w:lvl w:ilvl="0" w:tplc="594EA218">
      <w:numFmt w:val="bullet"/>
      <w:lvlText w:val="-"/>
      <w:lvlJc w:val="left"/>
      <w:pPr>
        <w:ind w:left="3675" w:hanging="360"/>
      </w:pPr>
      <w:rPr>
        <w:rFonts w:ascii="Candara" w:eastAsia="Times New Roman" w:hAnsi="Candara" w:cs="Calibri" w:hint="default"/>
      </w:rPr>
    </w:lvl>
    <w:lvl w:ilvl="1" w:tplc="440A0003" w:tentative="1">
      <w:start w:val="1"/>
      <w:numFmt w:val="bullet"/>
      <w:lvlText w:val="o"/>
      <w:lvlJc w:val="left"/>
      <w:pPr>
        <w:ind w:left="4395" w:hanging="360"/>
      </w:pPr>
      <w:rPr>
        <w:rFonts w:ascii="Courier New" w:hAnsi="Courier New" w:cs="Courier New" w:hint="default"/>
      </w:rPr>
    </w:lvl>
    <w:lvl w:ilvl="2" w:tplc="440A0005" w:tentative="1">
      <w:start w:val="1"/>
      <w:numFmt w:val="bullet"/>
      <w:lvlText w:val=""/>
      <w:lvlJc w:val="left"/>
      <w:pPr>
        <w:ind w:left="5115" w:hanging="360"/>
      </w:pPr>
      <w:rPr>
        <w:rFonts w:ascii="Wingdings" w:hAnsi="Wingdings" w:hint="default"/>
      </w:rPr>
    </w:lvl>
    <w:lvl w:ilvl="3" w:tplc="440A0001" w:tentative="1">
      <w:start w:val="1"/>
      <w:numFmt w:val="bullet"/>
      <w:lvlText w:val=""/>
      <w:lvlJc w:val="left"/>
      <w:pPr>
        <w:ind w:left="5835" w:hanging="360"/>
      </w:pPr>
      <w:rPr>
        <w:rFonts w:ascii="Symbol" w:hAnsi="Symbol" w:hint="default"/>
      </w:rPr>
    </w:lvl>
    <w:lvl w:ilvl="4" w:tplc="440A0003" w:tentative="1">
      <w:start w:val="1"/>
      <w:numFmt w:val="bullet"/>
      <w:lvlText w:val="o"/>
      <w:lvlJc w:val="left"/>
      <w:pPr>
        <w:ind w:left="6555" w:hanging="360"/>
      </w:pPr>
      <w:rPr>
        <w:rFonts w:ascii="Courier New" w:hAnsi="Courier New" w:cs="Courier New" w:hint="default"/>
      </w:rPr>
    </w:lvl>
    <w:lvl w:ilvl="5" w:tplc="440A0005" w:tentative="1">
      <w:start w:val="1"/>
      <w:numFmt w:val="bullet"/>
      <w:lvlText w:val=""/>
      <w:lvlJc w:val="left"/>
      <w:pPr>
        <w:ind w:left="7275" w:hanging="360"/>
      </w:pPr>
      <w:rPr>
        <w:rFonts w:ascii="Wingdings" w:hAnsi="Wingdings" w:hint="default"/>
      </w:rPr>
    </w:lvl>
    <w:lvl w:ilvl="6" w:tplc="440A0001" w:tentative="1">
      <w:start w:val="1"/>
      <w:numFmt w:val="bullet"/>
      <w:lvlText w:val=""/>
      <w:lvlJc w:val="left"/>
      <w:pPr>
        <w:ind w:left="7995" w:hanging="360"/>
      </w:pPr>
      <w:rPr>
        <w:rFonts w:ascii="Symbol" w:hAnsi="Symbol" w:hint="default"/>
      </w:rPr>
    </w:lvl>
    <w:lvl w:ilvl="7" w:tplc="440A0003" w:tentative="1">
      <w:start w:val="1"/>
      <w:numFmt w:val="bullet"/>
      <w:lvlText w:val="o"/>
      <w:lvlJc w:val="left"/>
      <w:pPr>
        <w:ind w:left="8715" w:hanging="360"/>
      </w:pPr>
      <w:rPr>
        <w:rFonts w:ascii="Courier New" w:hAnsi="Courier New" w:cs="Courier New" w:hint="default"/>
      </w:rPr>
    </w:lvl>
    <w:lvl w:ilvl="8" w:tplc="440A0005" w:tentative="1">
      <w:start w:val="1"/>
      <w:numFmt w:val="bullet"/>
      <w:lvlText w:val=""/>
      <w:lvlJc w:val="left"/>
      <w:pPr>
        <w:ind w:left="9435" w:hanging="360"/>
      </w:pPr>
      <w:rPr>
        <w:rFonts w:ascii="Wingdings" w:hAnsi="Wingdings" w:hint="default"/>
      </w:rPr>
    </w:lvl>
  </w:abstractNum>
  <w:abstractNum w:abstractNumId="18" w15:restartNumberingAfterBreak="0">
    <w:nsid w:val="76003CB1"/>
    <w:multiLevelType w:val="multilevel"/>
    <w:tmpl w:val="A62E9E88"/>
    <w:lvl w:ilvl="0">
      <w:start w:val="1"/>
      <w:numFmt w:val="decimal"/>
      <w:lvlRestart w:val="0"/>
      <w:pStyle w:val="Outline1L1"/>
      <w:lvlText w:val="%1."/>
      <w:lvlJc w:val="left"/>
      <w:pPr>
        <w:tabs>
          <w:tab w:val="num" w:pos="2139"/>
        </w:tabs>
        <w:ind w:left="426" w:firstLine="0"/>
      </w:pPr>
      <w:rPr>
        <w:rFonts w:ascii="Times New Roman" w:hAnsi="Times New Roman" w:cs="Times New Roman" w:hint="default"/>
        <w:b w:val="0"/>
        <w:bCs w:val="0"/>
        <w:i w:val="0"/>
        <w:iCs w:val="0"/>
        <w:caps w:val="0"/>
        <w:smallCaps w:val="0"/>
        <w:strike w:val="0"/>
        <w:dstrike w:val="0"/>
        <w:vanish w:val="0"/>
        <w:color w:val="auto"/>
        <w:sz w:val="24"/>
        <w:szCs w:val="24"/>
        <w:u w:val="none"/>
        <w:effect w:val="none"/>
        <w:vertAlign w:val="baseline"/>
      </w:rPr>
    </w:lvl>
    <w:lvl w:ilvl="1">
      <w:start w:val="1"/>
      <w:numFmt w:val="upperLetter"/>
      <w:pStyle w:val="Outline1L2"/>
      <w:lvlText w:val="%2."/>
      <w:lvlJc w:val="left"/>
      <w:pPr>
        <w:tabs>
          <w:tab w:val="num" w:pos="1531"/>
        </w:tabs>
        <w:ind w:left="-10" w:firstLine="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pStyle w:val="Outline1L3"/>
      <w:lvlText w:val="%3."/>
      <w:lvlJc w:val="left"/>
      <w:pPr>
        <w:tabs>
          <w:tab w:val="num" w:pos="2160"/>
        </w:tabs>
        <w:ind w:left="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3">
      <w:start w:val="1"/>
      <w:numFmt w:val="lowerLetter"/>
      <w:pStyle w:val="Outline1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4">
      <w:start w:val="1"/>
      <w:numFmt w:val="lowerRoman"/>
      <w:pStyle w:val="Outline1L5"/>
      <w:lvlText w:val="(%5)"/>
      <w:lvlJc w:val="left"/>
      <w:pPr>
        <w:tabs>
          <w:tab w:val="num" w:pos="2880"/>
        </w:tabs>
        <w:ind w:left="72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5">
      <w:start w:val="1"/>
      <w:numFmt w:val="upperLetter"/>
      <w:pStyle w:val="Outline1L6"/>
      <w:lvlText w:val="(%6)"/>
      <w:lvlJc w:val="left"/>
      <w:pPr>
        <w:tabs>
          <w:tab w:val="num" w:pos="3600"/>
        </w:tabs>
        <w:ind w:left="1440" w:firstLine="14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6">
      <w:start w:val="1"/>
      <w:numFmt w:val="decimal"/>
      <w:lvlText w:val="%7."/>
      <w:lvlJc w:val="left"/>
      <w:pPr>
        <w:tabs>
          <w:tab w:val="num" w:pos="2520"/>
        </w:tabs>
        <w:ind w:left="2520" w:hanging="360"/>
      </w:pPr>
      <w:rPr>
        <w:rFonts w:ascii="Times New Roman" w:hAnsi="Times New Roman" w:cs="Times New Roman" w:hint="default"/>
        <w:sz w:val="24"/>
        <w:szCs w:val="24"/>
      </w:rPr>
    </w:lvl>
    <w:lvl w:ilvl="7">
      <w:start w:val="1"/>
      <w:numFmt w:val="lowerLetter"/>
      <w:lvlText w:val="%8."/>
      <w:lvlJc w:val="left"/>
      <w:pPr>
        <w:tabs>
          <w:tab w:val="num" w:pos="2345"/>
        </w:tabs>
        <w:ind w:left="2345" w:hanging="360"/>
      </w:pPr>
      <w:rPr>
        <w:rFonts w:ascii="Times New Roman" w:hAnsi="Times New Roman" w:cs="Times New Roman" w:hint="default"/>
        <w:sz w:val="24"/>
        <w:szCs w:val="24"/>
      </w:rPr>
    </w:lvl>
    <w:lvl w:ilvl="8">
      <w:start w:val="1"/>
      <w:numFmt w:val="lowerRoman"/>
      <w:lvlText w:val="%9."/>
      <w:lvlJc w:val="left"/>
      <w:pPr>
        <w:tabs>
          <w:tab w:val="num" w:pos="3240"/>
        </w:tabs>
        <w:ind w:left="3240" w:hanging="360"/>
      </w:pPr>
      <w:rPr>
        <w:rFonts w:ascii="Times New Roman" w:hAnsi="Times New Roman" w:cs="Times New Roman" w:hint="default"/>
        <w:sz w:val="24"/>
        <w:szCs w:val="24"/>
      </w:rPr>
    </w:lvl>
  </w:abstractNum>
  <w:abstractNum w:abstractNumId="19" w15:restartNumberingAfterBreak="0">
    <w:nsid w:val="78954222"/>
    <w:multiLevelType w:val="hybridMultilevel"/>
    <w:tmpl w:val="3EFA8EDA"/>
    <w:lvl w:ilvl="0" w:tplc="18280B5C">
      <w:start w:val="1"/>
      <w:numFmt w:val="bullet"/>
      <w:lvlText w:val="-"/>
      <w:lvlJc w:val="left"/>
      <w:pPr>
        <w:ind w:left="720" w:hanging="360"/>
      </w:pPr>
      <w:rPr>
        <w:rFonts w:ascii="Candara" w:eastAsia="Times New Roman" w:hAnsi="Candara"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15"/>
  </w:num>
  <w:num w:numId="6">
    <w:abstractNumId w:val="17"/>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9"/>
  </w:num>
  <w:num w:numId="12">
    <w:abstractNumId w:val="7"/>
  </w:num>
  <w:num w:numId="13">
    <w:abstractNumId w:val="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4"/>
  </w:num>
  <w:num w:numId="18">
    <w:abstractNumId w:val="13"/>
  </w:num>
  <w:num w:numId="19">
    <w:abstractNumId w:val="0"/>
  </w:num>
  <w:num w:numId="20">
    <w:abstractNumId w:val="16"/>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5"/>
    <w:rsid w:val="00002A15"/>
    <w:rsid w:val="00003DBE"/>
    <w:rsid w:val="00003E71"/>
    <w:rsid w:val="000044A6"/>
    <w:rsid w:val="00004AC1"/>
    <w:rsid w:val="00005394"/>
    <w:rsid w:val="00005DE7"/>
    <w:rsid w:val="0000767E"/>
    <w:rsid w:val="00007F40"/>
    <w:rsid w:val="000107EC"/>
    <w:rsid w:val="000125BF"/>
    <w:rsid w:val="000129CE"/>
    <w:rsid w:val="00014440"/>
    <w:rsid w:val="00014666"/>
    <w:rsid w:val="0001700F"/>
    <w:rsid w:val="00024EB8"/>
    <w:rsid w:val="0002562B"/>
    <w:rsid w:val="0003199D"/>
    <w:rsid w:val="00032F0C"/>
    <w:rsid w:val="00033BDB"/>
    <w:rsid w:val="000350BD"/>
    <w:rsid w:val="00035936"/>
    <w:rsid w:val="000368FE"/>
    <w:rsid w:val="00036A8F"/>
    <w:rsid w:val="00036C58"/>
    <w:rsid w:val="00042C94"/>
    <w:rsid w:val="00045C77"/>
    <w:rsid w:val="00046DCB"/>
    <w:rsid w:val="00046F1C"/>
    <w:rsid w:val="00047EAE"/>
    <w:rsid w:val="000504B7"/>
    <w:rsid w:val="00050721"/>
    <w:rsid w:val="00051CE0"/>
    <w:rsid w:val="00055088"/>
    <w:rsid w:val="00055C6D"/>
    <w:rsid w:val="000563D5"/>
    <w:rsid w:val="0005706F"/>
    <w:rsid w:val="00057E16"/>
    <w:rsid w:val="0006008B"/>
    <w:rsid w:val="0006124F"/>
    <w:rsid w:val="00063635"/>
    <w:rsid w:val="00065616"/>
    <w:rsid w:val="00067A82"/>
    <w:rsid w:val="0007071E"/>
    <w:rsid w:val="00071875"/>
    <w:rsid w:val="00072BB0"/>
    <w:rsid w:val="0007316A"/>
    <w:rsid w:val="000737F7"/>
    <w:rsid w:val="00073DF6"/>
    <w:rsid w:val="00073ED0"/>
    <w:rsid w:val="00074856"/>
    <w:rsid w:val="000766A1"/>
    <w:rsid w:val="0007724F"/>
    <w:rsid w:val="00077425"/>
    <w:rsid w:val="00080493"/>
    <w:rsid w:val="0008095D"/>
    <w:rsid w:val="00080BF7"/>
    <w:rsid w:val="00081874"/>
    <w:rsid w:val="000827C3"/>
    <w:rsid w:val="00083368"/>
    <w:rsid w:val="000850BF"/>
    <w:rsid w:val="00090A01"/>
    <w:rsid w:val="00091CEA"/>
    <w:rsid w:val="00091E47"/>
    <w:rsid w:val="00092055"/>
    <w:rsid w:val="00092B07"/>
    <w:rsid w:val="000932FA"/>
    <w:rsid w:val="000933AC"/>
    <w:rsid w:val="000938EC"/>
    <w:rsid w:val="00095A8C"/>
    <w:rsid w:val="000A0064"/>
    <w:rsid w:val="000A1ECC"/>
    <w:rsid w:val="000A36F3"/>
    <w:rsid w:val="000A6355"/>
    <w:rsid w:val="000B0C19"/>
    <w:rsid w:val="000B0EA6"/>
    <w:rsid w:val="000B1B60"/>
    <w:rsid w:val="000B28C1"/>
    <w:rsid w:val="000B31AE"/>
    <w:rsid w:val="000B32B3"/>
    <w:rsid w:val="000B427B"/>
    <w:rsid w:val="000B42D8"/>
    <w:rsid w:val="000B4C23"/>
    <w:rsid w:val="000B5129"/>
    <w:rsid w:val="000B6214"/>
    <w:rsid w:val="000B7219"/>
    <w:rsid w:val="000B7385"/>
    <w:rsid w:val="000B748E"/>
    <w:rsid w:val="000B7871"/>
    <w:rsid w:val="000C0647"/>
    <w:rsid w:val="000C08C9"/>
    <w:rsid w:val="000C0E74"/>
    <w:rsid w:val="000C2D4E"/>
    <w:rsid w:val="000C6FC2"/>
    <w:rsid w:val="000C7415"/>
    <w:rsid w:val="000D0149"/>
    <w:rsid w:val="000D2121"/>
    <w:rsid w:val="000D3F00"/>
    <w:rsid w:val="000D45B5"/>
    <w:rsid w:val="000D61F4"/>
    <w:rsid w:val="000E3D52"/>
    <w:rsid w:val="000E40ED"/>
    <w:rsid w:val="000E7DEC"/>
    <w:rsid w:val="000F2598"/>
    <w:rsid w:val="000F3F1D"/>
    <w:rsid w:val="000F5152"/>
    <w:rsid w:val="000F6407"/>
    <w:rsid w:val="000F7857"/>
    <w:rsid w:val="00103F6B"/>
    <w:rsid w:val="00105ABD"/>
    <w:rsid w:val="00106534"/>
    <w:rsid w:val="00110940"/>
    <w:rsid w:val="0011125B"/>
    <w:rsid w:val="00120199"/>
    <w:rsid w:val="00120C00"/>
    <w:rsid w:val="00121393"/>
    <w:rsid w:val="00123067"/>
    <w:rsid w:val="0012502A"/>
    <w:rsid w:val="00125881"/>
    <w:rsid w:val="0012602E"/>
    <w:rsid w:val="00134372"/>
    <w:rsid w:val="0013549A"/>
    <w:rsid w:val="00135EAC"/>
    <w:rsid w:val="00135FB8"/>
    <w:rsid w:val="001366A0"/>
    <w:rsid w:val="00136F4C"/>
    <w:rsid w:val="00137776"/>
    <w:rsid w:val="00137B38"/>
    <w:rsid w:val="0014194D"/>
    <w:rsid w:val="00142BDD"/>
    <w:rsid w:val="00143C05"/>
    <w:rsid w:val="00145091"/>
    <w:rsid w:val="00146B37"/>
    <w:rsid w:val="00150E30"/>
    <w:rsid w:val="00151522"/>
    <w:rsid w:val="00151722"/>
    <w:rsid w:val="001521BC"/>
    <w:rsid w:val="00153163"/>
    <w:rsid w:val="001536B2"/>
    <w:rsid w:val="0015449B"/>
    <w:rsid w:val="00154F8E"/>
    <w:rsid w:val="001553A6"/>
    <w:rsid w:val="001564E8"/>
    <w:rsid w:val="00163FA1"/>
    <w:rsid w:val="00164E11"/>
    <w:rsid w:val="00165910"/>
    <w:rsid w:val="00167CCD"/>
    <w:rsid w:val="00167F36"/>
    <w:rsid w:val="00170628"/>
    <w:rsid w:val="00170BAE"/>
    <w:rsid w:val="00173880"/>
    <w:rsid w:val="00173EC7"/>
    <w:rsid w:val="00174C2A"/>
    <w:rsid w:val="001753A7"/>
    <w:rsid w:val="00176150"/>
    <w:rsid w:val="00176184"/>
    <w:rsid w:val="00177FFE"/>
    <w:rsid w:val="00180154"/>
    <w:rsid w:val="00180642"/>
    <w:rsid w:val="0018146E"/>
    <w:rsid w:val="00182A89"/>
    <w:rsid w:val="00184DB4"/>
    <w:rsid w:val="001909E4"/>
    <w:rsid w:val="00190B09"/>
    <w:rsid w:val="00190F50"/>
    <w:rsid w:val="001910E2"/>
    <w:rsid w:val="00193C94"/>
    <w:rsid w:val="001942CF"/>
    <w:rsid w:val="001942E2"/>
    <w:rsid w:val="00194BB2"/>
    <w:rsid w:val="00194D12"/>
    <w:rsid w:val="001965FB"/>
    <w:rsid w:val="001968FE"/>
    <w:rsid w:val="0019773D"/>
    <w:rsid w:val="001A2FDC"/>
    <w:rsid w:val="001A37E6"/>
    <w:rsid w:val="001A49A6"/>
    <w:rsid w:val="001A5F4B"/>
    <w:rsid w:val="001A7412"/>
    <w:rsid w:val="001B0E38"/>
    <w:rsid w:val="001B1625"/>
    <w:rsid w:val="001B3135"/>
    <w:rsid w:val="001B3951"/>
    <w:rsid w:val="001B4677"/>
    <w:rsid w:val="001B4A0A"/>
    <w:rsid w:val="001B4B16"/>
    <w:rsid w:val="001B5B81"/>
    <w:rsid w:val="001B73D1"/>
    <w:rsid w:val="001B7B61"/>
    <w:rsid w:val="001C00F7"/>
    <w:rsid w:val="001C0639"/>
    <w:rsid w:val="001C3356"/>
    <w:rsid w:val="001C3602"/>
    <w:rsid w:val="001C450E"/>
    <w:rsid w:val="001C4836"/>
    <w:rsid w:val="001C5CA7"/>
    <w:rsid w:val="001C7F84"/>
    <w:rsid w:val="001D0021"/>
    <w:rsid w:val="001D0083"/>
    <w:rsid w:val="001D0BF2"/>
    <w:rsid w:val="001D135A"/>
    <w:rsid w:val="001D261B"/>
    <w:rsid w:val="001D3263"/>
    <w:rsid w:val="001D7D68"/>
    <w:rsid w:val="001E11BF"/>
    <w:rsid w:val="001E160B"/>
    <w:rsid w:val="001E1C63"/>
    <w:rsid w:val="001E30F7"/>
    <w:rsid w:val="001E4553"/>
    <w:rsid w:val="001E765F"/>
    <w:rsid w:val="001F21F6"/>
    <w:rsid w:val="001F3912"/>
    <w:rsid w:val="001F50C9"/>
    <w:rsid w:val="001F6DC0"/>
    <w:rsid w:val="00200744"/>
    <w:rsid w:val="00201628"/>
    <w:rsid w:val="00203AF4"/>
    <w:rsid w:val="002053D6"/>
    <w:rsid w:val="002056DE"/>
    <w:rsid w:val="00206A51"/>
    <w:rsid w:val="00206D87"/>
    <w:rsid w:val="00212E93"/>
    <w:rsid w:val="002132B3"/>
    <w:rsid w:val="002144EA"/>
    <w:rsid w:val="00216005"/>
    <w:rsid w:val="00217169"/>
    <w:rsid w:val="002204C7"/>
    <w:rsid w:val="00220653"/>
    <w:rsid w:val="002207BF"/>
    <w:rsid w:val="0022571A"/>
    <w:rsid w:val="0022689B"/>
    <w:rsid w:val="00226DE2"/>
    <w:rsid w:val="00227E46"/>
    <w:rsid w:val="002311FD"/>
    <w:rsid w:val="00231A48"/>
    <w:rsid w:val="002332A9"/>
    <w:rsid w:val="00234570"/>
    <w:rsid w:val="00235C31"/>
    <w:rsid w:val="00235F12"/>
    <w:rsid w:val="00241A25"/>
    <w:rsid w:val="00242E64"/>
    <w:rsid w:val="002441FD"/>
    <w:rsid w:val="00244359"/>
    <w:rsid w:val="002464BF"/>
    <w:rsid w:val="00251374"/>
    <w:rsid w:val="00251547"/>
    <w:rsid w:val="002520D9"/>
    <w:rsid w:val="00256608"/>
    <w:rsid w:val="0026097D"/>
    <w:rsid w:val="00262E33"/>
    <w:rsid w:val="00262F33"/>
    <w:rsid w:val="0026607B"/>
    <w:rsid w:val="002679B5"/>
    <w:rsid w:val="00270CC7"/>
    <w:rsid w:val="00272A8F"/>
    <w:rsid w:val="00276377"/>
    <w:rsid w:val="002766D8"/>
    <w:rsid w:val="00280D3C"/>
    <w:rsid w:val="0028261B"/>
    <w:rsid w:val="00282977"/>
    <w:rsid w:val="00283D97"/>
    <w:rsid w:val="00286327"/>
    <w:rsid w:val="0028723E"/>
    <w:rsid w:val="002874F2"/>
    <w:rsid w:val="00287807"/>
    <w:rsid w:val="00291B03"/>
    <w:rsid w:val="002928EA"/>
    <w:rsid w:val="00292F86"/>
    <w:rsid w:val="002A0027"/>
    <w:rsid w:val="002A0964"/>
    <w:rsid w:val="002A147C"/>
    <w:rsid w:val="002A264C"/>
    <w:rsid w:val="002A2E39"/>
    <w:rsid w:val="002A37DF"/>
    <w:rsid w:val="002A59F7"/>
    <w:rsid w:val="002A7A67"/>
    <w:rsid w:val="002B07DA"/>
    <w:rsid w:val="002B0B6C"/>
    <w:rsid w:val="002B2116"/>
    <w:rsid w:val="002B214B"/>
    <w:rsid w:val="002B2D0E"/>
    <w:rsid w:val="002B4222"/>
    <w:rsid w:val="002B45FB"/>
    <w:rsid w:val="002B48D7"/>
    <w:rsid w:val="002B696D"/>
    <w:rsid w:val="002C22E7"/>
    <w:rsid w:val="002C3C06"/>
    <w:rsid w:val="002C5629"/>
    <w:rsid w:val="002C5F4D"/>
    <w:rsid w:val="002C6F24"/>
    <w:rsid w:val="002C79A8"/>
    <w:rsid w:val="002D01D4"/>
    <w:rsid w:val="002D0CAC"/>
    <w:rsid w:val="002D2C69"/>
    <w:rsid w:val="002D2D0A"/>
    <w:rsid w:val="002D4F30"/>
    <w:rsid w:val="002D5BD4"/>
    <w:rsid w:val="002E1F4E"/>
    <w:rsid w:val="002E2F08"/>
    <w:rsid w:val="002E5A52"/>
    <w:rsid w:val="002E5DE2"/>
    <w:rsid w:val="002F0FC6"/>
    <w:rsid w:val="002F24E8"/>
    <w:rsid w:val="002F28DF"/>
    <w:rsid w:val="002F3838"/>
    <w:rsid w:val="002F3FB5"/>
    <w:rsid w:val="002F44DD"/>
    <w:rsid w:val="003007E1"/>
    <w:rsid w:val="00302300"/>
    <w:rsid w:val="0030305A"/>
    <w:rsid w:val="0030584A"/>
    <w:rsid w:val="00307EF7"/>
    <w:rsid w:val="0031164C"/>
    <w:rsid w:val="00312079"/>
    <w:rsid w:val="0031413C"/>
    <w:rsid w:val="0031449E"/>
    <w:rsid w:val="00314E3D"/>
    <w:rsid w:val="003155C6"/>
    <w:rsid w:val="00316C4E"/>
    <w:rsid w:val="003200B1"/>
    <w:rsid w:val="00324C0A"/>
    <w:rsid w:val="003259AA"/>
    <w:rsid w:val="00325B93"/>
    <w:rsid w:val="00326C65"/>
    <w:rsid w:val="00326D1E"/>
    <w:rsid w:val="00327718"/>
    <w:rsid w:val="00327D59"/>
    <w:rsid w:val="00331CF9"/>
    <w:rsid w:val="003325EA"/>
    <w:rsid w:val="00333D48"/>
    <w:rsid w:val="00340E6B"/>
    <w:rsid w:val="0034191D"/>
    <w:rsid w:val="0034231B"/>
    <w:rsid w:val="0034320E"/>
    <w:rsid w:val="00343303"/>
    <w:rsid w:val="00344144"/>
    <w:rsid w:val="0034467E"/>
    <w:rsid w:val="003448F3"/>
    <w:rsid w:val="003451BD"/>
    <w:rsid w:val="00345390"/>
    <w:rsid w:val="003454B9"/>
    <w:rsid w:val="00345590"/>
    <w:rsid w:val="0034685B"/>
    <w:rsid w:val="00346A83"/>
    <w:rsid w:val="00347694"/>
    <w:rsid w:val="003502E8"/>
    <w:rsid w:val="00350424"/>
    <w:rsid w:val="00350D29"/>
    <w:rsid w:val="00351219"/>
    <w:rsid w:val="00351330"/>
    <w:rsid w:val="0035232F"/>
    <w:rsid w:val="0035322E"/>
    <w:rsid w:val="00353EE6"/>
    <w:rsid w:val="00354A15"/>
    <w:rsid w:val="00355BF7"/>
    <w:rsid w:val="00355FBB"/>
    <w:rsid w:val="003562F7"/>
    <w:rsid w:val="00361220"/>
    <w:rsid w:val="00365457"/>
    <w:rsid w:val="00371731"/>
    <w:rsid w:val="00373397"/>
    <w:rsid w:val="00373CBD"/>
    <w:rsid w:val="0037505A"/>
    <w:rsid w:val="00380002"/>
    <w:rsid w:val="00382BE0"/>
    <w:rsid w:val="00383CBC"/>
    <w:rsid w:val="00386BC0"/>
    <w:rsid w:val="00387F5A"/>
    <w:rsid w:val="00390F5A"/>
    <w:rsid w:val="003914B5"/>
    <w:rsid w:val="00391D10"/>
    <w:rsid w:val="003925C0"/>
    <w:rsid w:val="00393D4B"/>
    <w:rsid w:val="003946BF"/>
    <w:rsid w:val="0039588B"/>
    <w:rsid w:val="0039592C"/>
    <w:rsid w:val="00395A44"/>
    <w:rsid w:val="003962FB"/>
    <w:rsid w:val="00397B23"/>
    <w:rsid w:val="003A0898"/>
    <w:rsid w:val="003A5508"/>
    <w:rsid w:val="003A60C7"/>
    <w:rsid w:val="003A6A53"/>
    <w:rsid w:val="003B0815"/>
    <w:rsid w:val="003B0D47"/>
    <w:rsid w:val="003B2BE7"/>
    <w:rsid w:val="003B305D"/>
    <w:rsid w:val="003B4A01"/>
    <w:rsid w:val="003B5F59"/>
    <w:rsid w:val="003B6035"/>
    <w:rsid w:val="003B6415"/>
    <w:rsid w:val="003B6B58"/>
    <w:rsid w:val="003C2B1E"/>
    <w:rsid w:val="003C33B3"/>
    <w:rsid w:val="003C618A"/>
    <w:rsid w:val="003C7532"/>
    <w:rsid w:val="003D0AED"/>
    <w:rsid w:val="003D10A0"/>
    <w:rsid w:val="003D1FC5"/>
    <w:rsid w:val="003D20F4"/>
    <w:rsid w:val="003D4107"/>
    <w:rsid w:val="003D7390"/>
    <w:rsid w:val="003E0088"/>
    <w:rsid w:val="003E1FBA"/>
    <w:rsid w:val="003E28F3"/>
    <w:rsid w:val="003E7EAD"/>
    <w:rsid w:val="003F0AF7"/>
    <w:rsid w:val="003F0B3F"/>
    <w:rsid w:val="003F173C"/>
    <w:rsid w:val="003F234D"/>
    <w:rsid w:val="003F3081"/>
    <w:rsid w:val="003F6998"/>
    <w:rsid w:val="00401098"/>
    <w:rsid w:val="00404593"/>
    <w:rsid w:val="00404784"/>
    <w:rsid w:val="00404C90"/>
    <w:rsid w:val="00404D93"/>
    <w:rsid w:val="004066E9"/>
    <w:rsid w:val="004112CF"/>
    <w:rsid w:val="0041229D"/>
    <w:rsid w:val="00412B47"/>
    <w:rsid w:val="00414FA5"/>
    <w:rsid w:val="0041785E"/>
    <w:rsid w:val="00420EE2"/>
    <w:rsid w:val="00423C68"/>
    <w:rsid w:val="004249A7"/>
    <w:rsid w:val="00424F80"/>
    <w:rsid w:val="00425283"/>
    <w:rsid w:val="004257AD"/>
    <w:rsid w:val="0042754D"/>
    <w:rsid w:val="00427FFA"/>
    <w:rsid w:val="00432D04"/>
    <w:rsid w:val="00432D7C"/>
    <w:rsid w:val="00440767"/>
    <w:rsid w:val="004423E5"/>
    <w:rsid w:val="00442DE5"/>
    <w:rsid w:val="0044329E"/>
    <w:rsid w:val="0044457B"/>
    <w:rsid w:val="00444832"/>
    <w:rsid w:val="00444A54"/>
    <w:rsid w:val="00447311"/>
    <w:rsid w:val="00447AE4"/>
    <w:rsid w:val="00455BDD"/>
    <w:rsid w:val="00456CE0"/>
    <w:rsid w:val="004605D3"/>
    <w:rsid w:val="00461174"/>
    <w:rsid w:val="00463142"/>
    <w:rsid w:val="004656B1"/>
    <w:rsid w:val="00470545"/>
    <w:rsid w:val="00471761"/>
    <w:rsid w:val="00472EA3"/>
    <w:rsid w:val="0047332F"/>
    <w:rsid w:val="004747AC"/>
    <w:rsid w:val="00476585"/>
    <w:rsid w:val="00477396"/>
    <w:rsid w:val="00477B44"/>
    <w:rsid w:val="0048081A"/>
    <w:rsid w:val="00481AC8"/>
    <w:rsid w:val="00483524"/>
    <w:rsid w:val="00484EE7"/>
    <w:rsid w:val="00484F7A"/>
    <w:rsid w:val="0048579E"/>
    <w:rsid w:val="004870F6"/>
    <w:rsid w:val="00490398"/>
    <w:rsid w:val="004911E6"/>
    <w:rsid w:val="00495B84"/>
    <w:rsid w:val="00497100"/>
    <w:rsid w:val="0049769C"/>
    <w:rsid w:val="004A685A"/>
    <w:rsid w:val="004A7D32"/>
    <w:rsid w:val="004B076D"/>
    <w:rsid w:val="004B086B"/>
    <w:rsid w:val="004B0E8A"/>
    <w:rsid w:val="004B0EC9"/>
    <w:rsid w:val="004B1AD2"/>
    <w:rsid w:val="004B3A6E"/>
    <w:rsid w:val="004B4B21"/>
    <w:rsid w:val="004B4D8D"/>
    <w:rsid w:val="004B51FA"/>
    <w:rsid w:val="004B6D59"/>
    <w:rsid w:val="004C27A3"/>
    <w:rsid w:val="004C2A20"/>
    <w:rsid w:val="004C388F"/>
    <w:rsid w:val="004C442A"/>
    <w:rsid w:val="004C6B3D"/>
    <w:rsid w:val="004C7832"/>
    <w:rsid w:val="004C798A"/>
    <w:rsid w:val="004D0FDB"/>
    <w:rsid w:val="004D48E8"/>
    <w:rsid w:val="004D52F8"/>
    <w:rsid w:val="004D5475"/>
    <w:rsid w:val="004D5928"/>
    <w:rsid w:val="004D610B"/>
    <w:rsid w:val="004D61A0"/>
    <w:rsid w:val="004D69E9"/>
    <w:rsid w:val="004D7470"/>
    <w:rsid w:val="004E1067"/>
    <w:rsid w:val="004E1588"/>
    <w:rsid w:val="004E2CD7"/>
    <w:rsid w:val="004E2F03"/>
    <w:rsid w:val="004E64B5"/>
    <w:rsid w:val="004E6C7E"/>
    <w:rsid w:val="004E71FF"/>
    <w:rsid w:val="004F1CB2"/>
    <w:rsid w:val="004F24E2"/>
    <w:rsid w:val="004F29B4"/>
    <w:rsid w:val="004F3C7F"/>
    <w:rsid w:val="004F4014"/>
    <w:rsid w:val="004F4FBF"/>
    <w:rsid w:val="004F599A"/>
    <w:rsid w:val="004F5B0E"/>
    <w:rsid w:val="004F752B"/>
    <w:rsid w:val="005007AD"/>
    <w:rsid w:val="005117CB"/>
    <w:rsid w:val="00512A06"/>
    <w:rsid w:val="0051302E"/>
    <w:rsid w:val="00514A25"/>
    <w:rsid w:val="00516702"/>
    <w:rsid w:val="00516E10"/>
    <w:rsid w:val="00517C55"/>
    <w:rsid w:val="00521066"/>
    <w:rsid w:val="0052116C"/>
    <w:rsid w:val="0052381F"/>
    <w:rsid w:val="005238D0"/>
    <w:rsid w:val="00525D04"/>
    <w:rsid w:val="00526328"/>
    <w:rsid w:val="00530B1E"/>
    <w:rsid w:val="00531219"/>
    <w:rsid w:val="005327AE"/>
    <w:rsid w:val="00532FE5"/>
    <w:rsid w:val="00533086"/>
    <w:rsid w:val="00533E72"/>
    <w:rsid w:val="005346AE"/>
    <w:rsid w:val="00534ED5"/>
    <w:rsid w:val="005350F6"/>
    <w:rsid w:val="005362EA"/>
    <w:rsid w:val="00537002"/>
    <w:rsid w:val="005377EC"/>
    <w:rsid w:val="005400E9"/>
    <w:rsid w:val="0054677B"/>
    <w:rsid w:val="00546B00"/>
    <w:rsid w:val="00546F81"/>
    <w:rsid w:val="005525B4"/>
    <w:rsid w:val="005537E5"/>
    <w:rsid w:val="00556662"/>
    <w:rsid w:val="005568F2"/>
    <w:rsid w:val="00556938"/>
    <w:rsid w:val="00560268"/>
    <w:rsid w:val="00561B8C"/>
    <w:rsid w:val="005631A4"/>
    <w:rsid w:val="00563A9A"/>
    <w:rsid w:val="00563EE7"/>
    <w:rsid w:val="005649A2"/>
    <w:rsid w:val="00565110"/>
    <w:rsid w:val="0056686F"/>
    <w:rsid w:val="00570C25"/>
    <w:rsid w:val="00572B4A"/>
    <w:rsid w:val="005767D6"/>
    <w:rsid w:val="005768FD"/>
    <w:rsid w:val="00577AFA"/>
    <w:rsid w:val="00580673"/>
    <w:rsid w:val="0058130F"/>
    <w:rsid w:val="005836C7"/>
    <w:rsid w:val="0058589C"/>
    <w:rsid w:val="00585D52"/>
    <w:rsid w:val="0058722D"/>
    <w:rsid w:val="0059027A"/>
    <w:rsid w:val="00590603"/>
    <w:rsid w:val="00591CA1"/>
    <w:rsid w:val="005924A9"/>
    <w:rsid w:val="00593B43"/>
    <w:rsid w:val="00593E2B"/>
    <w:rsid w:val="00594F1B"/>
    <w:rsid w:val="005964B2"/>
    <w:rsid w:val="005964F2"/>
    <w:rsid w:val="00597BE5"/>
    <w:rsid w:val="005A155E"/>
    <w:rsid w:val="005A3C10"/>
    <w:rsid w:val="005A4B08"/>
    <w:rsid w:val="005A4EF5"/>
    <w:rsid w:val="005A54D2"/>
    <w:rsid w:val="005A641D"/>
    <w:rsid w:val="005A69DC"/>
    <w:rsid w:val="005B1FBC"/>
    <w:rsid w:val="005B3F0F"/>
    <w:rsid w:val="005B58F3"/>
    <w:rsid w:val="005B7CB9"/>
    <w:rsid w:val="005C168E"/>
    <w:rsid w:val="005C33AE"/>
    <w:rsid w:val="005C3F01"/>
    <w:rsid w:val="005C4917"/>
    <w:rsid w:val="005C5465"/>
    <w:rsid w:val="005C54C8"/>
    <w:rsid w:val="005C6C4D"/>
    <w:rsid w:val="005D15ED"/>
    <w:rsid w:val="005D179E"/>
    <w:rsid w:val="005D24E7"/>
    <w:rsid w:val="005D3504"/>
    <w:rsid w:val="005D4B58"/>
    <w:rsid w:val="005D7D5B"/>
    <w:rsid w:val="005E0540"/>
    <w:rsid w:val="005E1A08"/>
    <w:rsid w:val="005E3DA6"/>
    <w:rsid w:val="005E4441"/>
    <w:rsid w:val="005F2D5C"/>
    <w:rsid w:val="005F72A3"/>
    <w:rsid w:val="006007E8"/>
    <w:rsid w:val="0060086D"/>
    <w:rsid w:val="00600F2E"/>
    <w:rsid w:val="0060196E"/>
    <w:rsid w:val="00604208"/>
    <w:rsid w:val="0060686F"/>
    <w:rsid w:val="006079A6"/>
    <w:rsid w:val="00607F7F"/>
    <w:rsid w:val="00610721"/>
    <w:rsid w:val="0061270D"/>
    <w:rsid w:val="00613FF3"/>
    <w:rsid w:val="00615490"/>
    <w:rsid w:val="0061719D"/>
    <w:rsid w:val="006174EE"/>
    <w:rsid w:val="00617799"/>
    <w:rsid w:val="0061779A"/>
    <w:rsid w:val="00617FA7"/>
    <w:rsid w:val="00620488"/>
    <w:rsid w:val="00620D7F"/>
    <w:rsid w:val="00622222"/>
    <w:rsid w:val="00623B1D"/>
    <w:rsid w:val="00627524"/>
    <w:rsid w:val="00627B49"/>
    <w:rsid w:val="00630827"/>
    <w:rsid w:val="0063158D"/>
    <w:rsid w:val="0063288D"/>
    <w:rsid w:val="00634117"/>
    <w:rsid w:val="0063571F"/>
    <w:rsid w:val="00642D34"/>
    <w:rsid w:val="00643837"/>
    <w:rsid w:val="006476ED"/>
    <w:rsid w:val="00650F9B"/>
    <w:rsid w:val="00651707"/>
    <w:rsid w:val="00652729"/>
    <w:rsid w:val="00654098"/>
    <w:rsid w:val="00656B40"/>
    <w:rsid w:val="0066123B"/>
    <w:rsid w:val="006613CD"/>
    <w:rsid w:val="00661947"/>
    <w:rsid w:val="006633EF"/>
    <w:rsid w:val="00664A78"/>
    <w:rsid w:val="0066529D"/>
    <w:rsid w:val="00665FCA"/>
    <w:rsid w:val="00666300"/>
    <w:rsid w:val="00666A07"/>
    <w:rsid w:val="0067173D"/>
    <w:rsid w:val="00672060"/>
    <w:rsid w:val="006733D2"/>
    <w:rsid w:val="0067394A"/>
    <w:rsid w:val="00675111"/>
    <w:rsid w:val="00676448"/>
    <w:rsid w:val="00677764"/>
    <w:rsid w:val="00680090"/>
    <w:rsid w:val="00681B9E"/>
    <w:rsid w:val="00682B22"/>
    <w:rsid w:val="00684829"/>
    <w:rsid w:val="00684C98"/>
    <w:rsid w:val="006854AC"/>
    <w:rsid w:val="00687CB7"/>
    <w:rsid w:val="00687F41"/>
    <w:rsid w:val="00692A69"/>
    <w:rsid w:val="00694812"/>
    <w:rsid w:val="00694B2C"/>
    <w:rsid w:val="00694C7F"/>
    <w:rsid w:val="00694FC2"/>
    <w:rsid w:val="006953B0"/>
    <w:rsid w:val="00696723"/>
    <w:rsid w:val="00696AED"/>
    <w:rsid w:val="006A0614"/>
    <w:rsid w:val="006A3718"/>
    <w:rsid w:val="006A3E1B"/>
    <w:rsid w:val="006A69E2"/>
    <w:rsid w:val="006A6E94"/>
    <w:rsid w:val="006B060F"/>
    <w:rsid w:val="006B0CED"/>
    <w:rsid w:val="006B116B"/>
    <w:rsid w:val="006B1211"/>
    <w:rsid w:val="006B16F0"/>
    <w:rsid w:val="006B1E67"/>
    <w:rsid w:val="006B4FA5"/>
    <w:rsid w:val="006B57E8"/>
    <w:rsid w:val="006B6EC2"/>
    <w:rsid w:val="006B7C08"/>
    <w:rsid w:val="006C3A52"/>
    <w:rsid w:val="006C6656"/>
    <w:rsid w:val="006D0A15"/>
    <w:rsid w:val="006D0DBF"/>
    <w:rsid w:val="006D2B68"/>
    <w:rsid w:val="006D364F"/>
    <w:rsid w:val="006D389E"/>
    <w:rsid w:val="006D3F0E"/>
    <w:rsid w:val="006D51C7"/>
    <w:rsid w:val="006D6008"/>
    <w:rsid w:val="006D6BC3"/>
    <w:rsid w:val="006E316B"/>
    <w:rsid w:val="006E414A"/>
    <w:rsid w:val="006E414F"/>
    <w:rsid w:val="006E41AF"/>
    <w:rsid w:val="006E6BA3"/>
    <w:rsid w:val="006E72C0"/>
    <w:rsid w:val="006E793E"/>
    <w:rsid w:val="006F1A72"/>
    <w:rsid w:val="006F23EA"/>
    <w:rsid w:val="006F3B63"/>
    <w:rsid w:val="006F4383"/>
    <w:rsid w:val="006F4DD2"/>
    <w:rsid w:val="006F7E34"/>
    <w:rsid w:val="00700D00"/>
    <w:rsid w:val="0070184D"/>
    <w:rsid w:val="00704941"/>
    <w:rsid w:val="007055B4"/>
    <w:rsid w:val="0070567F"/>
    <w:rsid w:val="00705BCF"/>
    <w:rsid w:val="0071030D"/>
    <w:rsid w:val="00710FB5"/>
    <w:rsid w:val="00711779"/>
    <w:rsid w:val="00713906"/>
    <w:rsid w:val="007139D5"/>
    <w:rsid w:val="00714B06"/>
    <w:rsid w:val="00714E28"/>
    <w:rsid w:val="0071588C"/>
    <w:rsid w:val="00715B99"/>
    <w:rsid w:val="0072119A"/>
    <w:rsid w:val="0072205A"/>
    <w:rsid w:val="00722A7E"/>
    <w:rsid w:val="00722B91"/>
    <w:rsid w:val="00723D01"/>
    <w:rsid w:val="00724D61"/>
    <w:rsid w:val="007269FE"/>
    <w:rsid w:val="00726D9A"/>
    <w:rsid w:val="00730482"/>
    <w:rsid w:val="0073056F"/>
    <w:rsid w:val="007307EB"/>
    <w:rsid w:val="00731771"/>
    <w:rsid w:val="007322EB"/>
    <w:rsid w:val="007327A2"/>
    <w:rsid w:val="0073298F"/>
    <w:rsid w:val="007345D7"/>
    <w:rsid w:val="00735F8D"/>
    <w:rsid w:val="007373EE"/>
    <w:rsid w:val="0074007F"/>
    <w:rsid w:val="00741185"/>
    <w:rsid w:val="00741689"/>
    <w:rsid w:val="00741BFA"/>
    <w:rsid w:val="007446D0"/>
    <w:rsid w:val="00745484"/>
    <w:rsid w:val="00745752"/>
    <w:rsid w:val="00746985"/>
    <w:rsid w:val="00746E72"/>
    <w:rsid w:val="007500E5"/>
    <w:rsid w:val="0075021C"/>
    <w:rsid w:val="00750DE0"/>
    <w:rsid w:val="00752186"/>
    <w:rsid w:val="00753D28"/>
    <w:rsid w:val="007564BD"/>
    <w:rsid w:val="007602A0"/>
    <w:rsid w:val="007602AE"/>
    <w:rsid w:val="007603B4"/>
    <w:rsid w:val="00761F27"/>
    <w:rsid w:val="0076588E"/>
    <w:rsid w:val="00766C5A"/>
    <w:rsid w:val="00767964"/>
    <w:rsid w:val="007701FC"/>
    <w:rsid w:val="0077089E"/>
    <w:rsid w:val="00771D69"/>
    <w:rsid w:val="00773139"/>
    <w:rsid w:val="007732BA"/>
    <w:rsid w:val="0077621C"/>
    <w:rsid w:val="007771DA"/>
    <w:rsid w:val="00781123"/>
    <w:rsid w:val="00783365"/>
    <w:rsid w:val="0078587A"/>
    <w:rsid w:val="00786110"/>
    <w:rsid w:val="0078714A"/>
    <w:rsid w:val="00790332"/>
    <w:rsid w:val="00790662"/>
    <w:rsid w:val="0079208C"/>
    <w:rsid w:val="007921D2"/>
    <w:rsid w:val="007926A3"/>
    <w:rsid w:val="00793964"/>
    <w:rsid w:val="007947C9"/>
    <w:rsid w:val="00795DDF"/>
    <w:rsid w:val="00796AE2"/>
    <w:rsid w:val="007A3B7F"/>
    <w:rsid w:val="007A4225"/>
    <w:rsid w:val="007A493D"/>
    <w:rsid w:val="007A6B7F"/>
    <w:rsid w:val="007A6BC6"/>
    <w:rsid w:val="007A7428"/>
    <w:rsid w:val="007B1E8F"/>
    <w:rsid w:val="007B2857"/>
    <w:rsid w:val="007B4C04"/>
    <w:rsid w:val="007B604D"/>
    <w:rsid w:val="007B61E3"/>
    <w:rsid w:val="007C0DF9"/>
    <w:rsid w:val="007C2A99"/>
    <w:rsid w:val="007C3114"/>
    <w:rsid w:val="007C366D"/>
    <w:rsid w:val="007C58DB"/>
    <w:rsid w:val="007D0CD4"/>
    <w:rsid w:val="007D26F3"/>
    <w:rsid w:val="007D2C14"/>
    <w:rsid w:val="007D4795"/>
    <w:rsid w:val="007D5010"/>
    <w:rsid w:val="007D5077"/>
    <w:rsid w:val="007D580D"/>
    <w:rsid w:val="007D72B4"/>
    <w:rsid w:val="007D79E7"/>
    <w:rsid w:val="007E04D3"/>
    <w:rsid w:val="007E0A00"/>
    <w:rsid w:val="007E397A"/>
    <w:rsid w:val="007E3EC1"/>
    <w:rsid w:val="007E46E9"/>
    <w:rsid w:val="007E48DC"/>
    <w:rsid w:val="007E4F3D"/>
    <w:rsid w:val="007E616C"/>
    <w:rsid w:val="007E6906"/>
    <w:rsid w:val="007E6984"/>
    <w:rsid w:val="007F06AB"/>
    <w:rsid w:val="007F1E29"/>
    <w:rsid w:val="007F3AD2"/>
    <w:rsid w:val="007F4194"/>
    <w:rsid w:val="007F50D2"/>
    <w:rsid w:val="007F50E2"/>
    <w:rsid w:val="007F57E7"/>
    <w:rsid w:val="007F5C26"/>
    <w:rsid w:val="007F6714"/>
    <w:rsid w:val="007F799D"/>
    <w:rsid w:val="007F7D2A"/>
    <w:rsid w:val="007F7E5E"/>
    <w:rsid w:val="00801396"/>
    <w:rsid w:val="008018E0"/>
    <w:rsid w:val="0080200B"/>
    <w:rsid w:val="008022FC"/>
    <w:rsid w:val="00803C3E"/>
    <w:rsid w:val="00803C68"/>
    <w:rsid w:val="00804CE7"/>
    <w:rsid w:val="008067E6"/>
    <w:rsid w:val="008119A5"/>
    <w:rsid w:val="0081268E"/>
    <w:rsid w:val="008164AD"/>
    <w:rsid w:val="00820852"/>
    <w:rsid w:val="008237F7"/>
    <w:rsid w:val="008266E1"/>
    <w:rsid w:val="00826EA7"/>
    <w:rsid w:val="008274EB"/>
    <w:rsid w:val="008306FC"/>
    <w:rsid w:val="00831D82"/>
    <w:rsid w:val="008322F0"/>
    <w:rsid w:val="00833B51"/>
    <w:rsid w:val="00833C4D"/>
    <w:rsid w:val="00834728"/>
    <w:rsid w:val="00834B8F"/>
    <w:rsid w:val="00834B93"/>
    <w:rsid w:val="00834CDC"/>
    <w:rsid w:val="00835B10"/>
    <w:rsid w:val="008374A9"/>
    <w:rsid w:val="00840A08"/>
    <w:rsid w:val="008421C5"/>
    <w:rsid w:val="00842DB9"/>
    <w:rsid w:val="00843C78"/>
    <w:rsid w:val="00843E4C"/>
    <w:rsid w:val="00843EEE"/>
    <w:rsid w:val="00846666"/>
    <w:rsid w:val="00846BF1"/>
    <w:rsid w:val="00847F94"/>
    <w:rsid w:val="00852934"/>
    <w:rsid w:val="00852CD5"/>
    <w:rsid w:val="00853AA2"/>
    <w:rsid w:val="00854220"/>
    <w:rsid w:val="008547ED"/>
    <w:rsid w:val="00855AEE"/>
    <w:rsid w:val="00857A4E"/>
    <w:rsid w:val="00857FF8"/>
    <w:rsid w:val="0086083C"/>
    <w:rsid w:val="00860B29"/>
    <w:rsid w:val="008615AC"/>
    <w:rsid w:val="00861E9B"/>
    <w:rsid w:val="0086207C"/>
    <w:rsid w:val="0086475B"/>
    <w:rsid w:val="00864C9D"/>
    <w:rsid w:val="0087015E"/>
    <w:rsid w:val="008709B6"/>
    <w:rsid w:val="00870A9D"/>
    <w:rsid w:val="00871062"/>
    <w:rsid w:val="00871526"/>
    <w:rsid w:val="008733DC"/>
    <w:rsid w:val="008737C8"/>
    <w:rsid w:val="008739AE"/>
    <w:rsid w:val="00873FD3"/>
    <w:rsid w:val="008821A6"/>
    <w:rsid w:val="0088442E"/>
    <w:rsid w:val="00886FAC"/>
    <w:rsid w:val="00890344"/>
    <w:rsid w:val="008906FA"/>
    <w:rsid w:val="008937FE"/>
    <w:rsid w:val="00893C94"/>
    <w:rsid w:val="0089429F"/>
    <w:rsid w:val="008961C2"/>
    <w:rsid w:val="008968AD"/>
    <w:rsid w:val="00896C54"/>
    <w:rsid w:val="00896E10"/>
    <w:rsid w:val="008A3517"/>
    <w:rsid w:val="008A648F"/>
    <w:rsid w:val="008A6A97"/>
    <w:rsid w:val="008A7657"/>
    <w:rsid w:val="008B6D29"/>
    <w:rsid w:val="008B73E8"/>
    <w:rsid w:val="008C3C3E"/>
    <w:rsid w:val="008C4FCC"/>
    <w:rsid w:val="008C7079"/>
    <w:rsid w:val="008D1ABF"/>
    <w:rsid w:val="008D4501"/>
    <w:rsid w:val="008D499E"/>
    <w:rsid w:val="008D4B22"/>
    <w:rsid w:val="008D57C2"/>
    <w:rsid w:val="008D5836"/>
    <w:rsid w:val="008D71CE"/>
    <w:rsid w:val="008D77B0"/>
    <w:rsid w:val="008E3D86"/>
    <w:rsid w:val="008E4012"/>
    <w:rsid w:val="008F19A8"/>
    <w:rsid w:val="008F3E3D"/>
    <w:rsid w:val="008F5073"/>
    <w:rsid w:val="008F69CE"/>
    <w:rsid w:val="008F7521"/>
    <w:rsid w:val="008F7908"/>
    <w:rsid w:val="008F7C42"/>
    <w:rsid w:val="009031B8"/>
    <w:rsid w:val="00903E74"/>
    <w:rsid w:val="00907C53"/>
    <w:rsid w:val="00912173"/>
    <w:rsid w:val="00914313"/>
    <w:rsid w:val="00916572"/>
    <w:rsid w:val="00916A0A"/>
    <w:rsid w:val="00916C17"/>
    <w:rsid w:val="0092099A"/>
    <w:rsid w:val="00920C6E"/>
    <w:rsid w:val="00922EF9"/>
    <w:rsid w:val="009243AB"/>
    <w:rsid w:val="00926056"/>
    <w:rsid w:val="009277DD"/>
    <w:rsid w:val="0093118D"/>
    <w:rsid w:val="0093148C"/>
    <w:rsid w:val="00932E3F"/>
    <w:rsid w:val="009332AB"/>
    <w:rsid w:val="00936324"/>
    <w:rsid w:val="00936B25"/>
    <w:rsid w:val="009370D4"/>
    <w:rsid w:val="009379E4"/>
    <w:rsid w:val="0094320F"/>
    <w:rsid w:val="009468FD"/>
    <w:rsid w:val="0095419B"/>
    <w:rsid w:val="00954C47"/>
    <w:rsid w:val="00955AE0"/>
    <w:rsid w:val="00964064"/>
    <w:rsid w:val="00964E98"/>
    <w:rsid w:val="009651F5"/>
    <w:rsid w:val="009656EE"/>
    <w:rsid w:val="009656F7"/>
    <w:rsid w:val="00972EDF"/>
    <w:rsid w:val="00972F08"/>
    <w:rsid w:val="00975035"/>
    <w:rsid w:val="00975A61"/>
    <w:rsid w:val="00982486"/>
    <w:rsid w:val="0098260F"/>
    <w:rsid w:val="009834F7"/>
    <w:rsid w:val="00986C83"/>
    <w:rsid w:val="00990206"/>
    <w:rsid w:val="00990D7D"/>
    <w:rsid w:val="00990D82"/>
    <w:rsid w:val="00991E13"/>
    <w:rsid w:val="0099299D"/>
    <w:rsid w:val="009951AE"/>
    <w:rsid w:val="00996C7C"/>
    <w:rsid w:val="00997817"/>
    <w:rsid w:val="009979A3"/>
    <w:rsid w:val="009A057C"/>
    <w:rsid w:val="009A08DD"/>
    <w:rsid w:val="009A14E6"/>
    <w:rsid w:val="009A2358"/>
    <w:rsid w:val="009A2992"/>
    <w:rsid w:val="009A4A70"/>
    <w:rsid w:val="009B05A3"/>
    <w:rsid w:val="009B0B56"/>
    <w:rsid w:val="009B117C"/>
    <w:rsid w:val="009B14EF"/>
    <w:rsid w:val="009B21FA"/>
    <w:rsid w:val="009B23AF"/>
    <w:rsid w:val="009B6939"/>
    <w:rsid w:val="009B72B5"/>
    <w:rsid w:val="009C2B8C"/>
    <w:rsid w:val="009C4792"/>
    <w:rsid w:val="009C4A2E"/>
    <w:rsid w:val="009C73BD"/>
    <w:rsid w:val="009D12C7"/>
    <w:rsid w:val="009D2A27"/>
    <w:rsid w:val="009D513A"/>
    <w:rsid w:val="009D541F"/>
    <w:rsid w:val="009D5517"/>
    <w:rsid w:val="009D6496"/>
    <w:rsid w:val="009D6797"/>
    <w:rsid w:val="009D7703"/>
    <w:rsid w:val="009D780D"/>
    <w:rsid w:val="009D7978"/>
    <w:rsid w:val="009D7BFF"/>
    <w:rsid w:val="009E4744"/>
    <w:rsid w:val="009E5E93"/>
    <w:rsid w:val="009E5F55"/>
    <w:rsid w:val="009E6670"/>
    <w:rsid w:val="009E7475"/>
    <w:rsid w:val="009E7DF2"/>
    <w:rsid w:val="009F06C0"/>
    <w:rsid w:val="009F1B61"/>
    <w:rsid w:val="009F1D51"/>
    <w:rsid w:val="009F2797"/>
    <w:rsid w:val="009F411B"/>
    <w:rsid w:val="009F5EA4"/>
    <w:rsid w:val="009F6833"/>
    <w:rsid w:val="009F7344"/>
    <w:rsid w:val="009F74EE"/>
    <w:rsid w:val="00A014D8"/>
    <w:rsid w:val="00A03C77"/>
    <w:rsid w:val="00A040A9"/>
    <w:rsid w:val="00A05A26"/>
    <w:rsid w:val="00A061CE"/>
    <w:rsid w:val="00A06E3A"/>
    <w:rsid w:val="00A0709B"/>
    <w:rsid w:val="00A072B3"/>
    <w:rsid w:val="00A07702"/>
    <w:rsid w:val="00A07DB0"/>
    <w:rsid w:val="00A12B40"/>
    <w:rsid w:val="00A131FE"/>
    <w:rsid w:val="00A136EA"/>
    <w:rsid w:val="00A13D6D"/>
    <w:rsid w:val="00A220FF"/>
    <w:rsid w:val="00A240E3"/>
    <w:rsid w:val="00A24251"/>
    <w:rsid w:val="00A25034"/>
    <w:rsid w:val="00A25FF8"/>
    <w:rsid w:val="00A26074"/>
    <w:rsid w:val="00A26182"/>
    <w:rsid w:val="00A31F8F"/>
    <w:rsid w:val="00A32BAB"/>
    <w:rsid w:val="00A32D28"/>
    <w:rsid w:val="00A33B8B"/>
    <w:rsid w:val="00A34CEB"/>
    <w:rsid w:val="00A3583B"/>
    <w:rsid w:val="00A36560"/>
    <w:rsid w:val="00A4002F"/>
    <w:rsid w:val="00A41536"/>
    <w:rsid w:val="00A41B3E"/>
    <w:rsid w:val="00A42E1B"/>
    <w:rsid w:val="00A440B3"/>
    <w:rsid w:val="00A446EF"/>
    <w:rsid w:val="00A47564"/>
    <w:rsid w:val="00A50DFB"/>
    <w:rsid w:val="00A51D87"/>
    <w:rsid w:val="00A51E7E"/>
    <w:rsid w:val="00A54C36"/>
    <w:rsid w:val="00A56B28"/>
    <w:rsid w:val="00A573B7"/>
    <w:rsid w:val="00A578BE"/>
    <w:rsid w:val="00A60B8E"/>
    <w:rsid w:val="00A63065"/>
    <w:rsid w:val="00A63413"/>
    <w:rsid w:val="00A64700"/>
    <w:rsid w:val="00A65FEF"/>
    <w:rsid w:val="00A7038B"/>
    <w:rsid w:val="00A70596"/>
    <w:rsid w:val="00A70C94"/>
    <w:rsid w:val="00A73FC0"/>
    <w:rsid w:val="00A75A16"/>
    <w:rsid w:val="00A76F3F"/>
    <w:rsid w:val="00A80001"/>
    <w:rsid w:val="00A80179"/>
    <w:rsid w:val="00A80596"/>
    <w:rsid w:val="00A80A13"/>
    <w:rsid w:val="00A81FC5"/>
    <w:rsid w:val="00A8476C"/>
    <w:rsid w:val="00A864D4"/>
    <w:rsid w:val="00A92323"/>
    <w:rsid w:val="00A94B54"/>
    <w:rsid w:val="00A9526C"/>
    <w:rsid w:val="00A95A6A"/>
    <w:rsid w:val="00A95A97"/>
    <w:rsid w:val="00A96525"/>
    <w:rsid w:val="00A975D8"/>
    <w:rsid w:val="00A97CC3"/>
    <w:rsid w:val="00AA0848"/>
    <w:rsid w:val="00AA1B09"/>
    <w:rsid w:val="00AA301A"/>
    <w:rsid w:val="00AA7D08"/>
    <w:rsid w:val="00AB0395"/>
    <w:rsid w:val="00AB0A56"/>
    <w:rsid w:val="00AB1073"/>
    <w:rsid w:val="00AB1442"/>
    <w:rsid w:val="00AB2B64"/>
    <w:rsid w:val="00AB3647"/>
    <w:rsid w:val="00AB5AA8"/>
    <w:rsid w:val="00AB768A"/>
    <w:rsid w:val="00AB78FE"/>
    <w:rsid w:val="00AC572F"/>
    <w:rsid w:val="00AC581B"/>
    <w:rsid w:val="00AD0F5B"/>
    <w:rsid w:val="00AD15BE"/>
    <w:rsid w:val="00AD19BE"/>
    <w:rsid w:val="00AD3B3D"/>
    <w:rsid w:val="00AD41B8"/>
    <w:rsid w:val="00AD5DB4"/>
    <w:rsid w:val="00AD5EEA"/>
    <w:rsid w:val="00AD5F32"/>
    <w:rsid w:val="00AE0AA6"/>
    <w:rsid w:val="00AE3056"/>
    <w:rsid w:val="00AE6362"/>
    <w:rsid w:val="00AE6523"/>
    <w:rsid w:val="00AE6BB6"/>
    <w:rsid w:val="00AE7E43"/>
    <w:rsid w:val="00AF11D7"/>
    <w:rsid w:val="00AF258B"/>
    <w:rsid w:val="00AF3BC8"/>
    <w:rsid w:val="00AF4C2B"/>
    <w:rsid w:val="00AF6FFF"/>
    <w:rsid w:val="00B0018D"/>
    <w:rsid w:val="00B0234C"/>
    <w:rsid w:val="00B06B64"/>
    <w:rsid w:val="00B13B06"/>
    <w:rsid w:val="00B13C6C"/>
    <w:rsid w:val="00B1460D"/>
    <w:rsid w:val="00B14654"/>
    <w:rsid w:val="00B14694"/>
    <w:rsid w:val="00B148F6"/>
    <w:rsid w:val="00B14C22"/>
    <w:rsid w:val="00B20326"/>
    <w:rsid w:val="00B20990"/>
    <w:rsid w:val="00B21529"/>
    <w:rsid w:val="00B2286A"/>
    <w:rsid w:val="00B23996"/>
    <w:rsid w:val="00B24DBF"/>
    <w:rsid w:val="00B2613B"/>
    <w:rsid w:val="00B261AE"/>
    <w:rsid w:val="00B27A53"/>
    <w:rsid w:val="00B27EF1"/>
    <w:rsid w:val="00B30345"/>
    <w:rsid w:val="00B31668"/>
    <w:rsid w:val="00B316AE"/>
    <w:rsid w:val="00B316C4"/>
    <w:rsid w:val="00B31C2F"/>
    <w:rsid w:val="00B34775"/>
    <w:rsid w:val="00B34D2B"/>
    <w:rsid w:val="00B36267"/>
    <w:rsid w:val="00B3698C"/>
    <w:rsid w:val="00B36AFB"/>
    <w:rsid w:val="00B379CD"/>
    <w:rsid w:val="00B4025C"/>
    <w:rsid w:val="00B40AA4"/>
    <w:rsid w:val="00B40E0D"/>
    <w:rsid w:val="00B42D26"/>
    <w:rsid w:val="00B47850"/>
    <w:rsid w:val="00B5026D"/>
    <w:rsid w:val="00B50FF0"/>
    <w:rsid w:val="00B51DC4"/>
    <w:rsid w:val="00B5543A"/>
    <w:rsid w:val="00B56706"/>
    <w:rsid w:val="00B56844"/>
    <w:rsid w:val="00B57073"/>
    <w:rsid w:val="00B601B8"/>
    <w:rsid w:val="00B62DEE"/>
    <w:rsid w:val="00B63926"/>
    <w:rsid w:val="00B6580B"/>
    <w:rsid w:val="00B6598B"/>
    <w:rsid w:val="00B71F2D"/>
    <w:rsid w:val="00B74D1A"/>
    <w:rsid w:val="00B75EC3"/>
    <w:rsid w:val="00B76D8D"/>
    <w:rsid w:val="00B76FB3"/>
    <w:rsid w:val="00B802C2"/>
    <w:rsid w:val="00B80496"/>
    <w:rsid w:val="00B80A8E"/>
    <w:rsid w:val="00B81FA6"/>
    <w:rsid w:val="00B84179"/>
    <w:rsid w:val="00B846DF"/>
    <w:rsid w:val="00B84AC7"/>
    <w:rsid w:val="00B877BF"/>
    <w:rsid w:val="00B93D63"/>
    <w:rsid w:val="00B944F6"/>
    <w:rsid w:val="00B94B82"/>
    <w:rsid w:val="00B94C8A"/>
    <w:rsid w:val="00B9537D"/>
    <w:rsid w:val="00B9585B"/>
    <w:rsid w:val="00B96275"/>
    <w:rsid w:val="00B97B7D"/>
    <w:rsid w:val="00BA0548"/>
    <w:rsid w:val="00BA093C"/>
    <w:rsid w:val="00BA0E4F"/>
    <w:rsid w:val="00BA2C5D"/>
    <w:rsid w:val="00BA3E49"/>
    <w:rsid w:val="00BA49CC"/>
    <w:rsid w:val="00BA5EDD"/>
    <w:rsid w:val="00BA6ECE"/>
    <w:rsid w:val="00BA754A"/>
    <w:rsid w:val="00BB1312"/>
    <w:rsid w:val="00BB1563"/>
    <w:rsid w:val="00BB4DD2"/>
    <w:rsid w:val="00BB533B"/>
    <w:rsid w:val="00BB5C3E"/>
    <w:rsid w:val="00BB604F"/>
    <w:rsid w:val="00BB6D7F"/>
    <w:rsid w:val="00BC07E9"/>
    <w:rsid w:val="00BC0CDC"/>
    <w:rsid w:val="00BC1FEB"/>
    <w:rsid w:val="00BC2ACC"/>
    <w:rsid w:val="00BC2F45"/>
    <w:rsid w:val="00BC346C"/>
    <w:rsid w:val="00BC4001"/>
    <w:rsid w:val="00BC4620"/>
    <w:rsid w:val="00BC4657"/>
    <w:rsid w:val="00BC510F"/>
    <w:rsid w:val="00BC599A"/>
    <w:rsid w:val="00BC69B8"/>
    <w:rsid w:val="00BC6CFC"/>
    <w:rsid w:val="00BC6E63"/>
    <w:rsid w:val="00BC7A0C"/>
    <w:rsid w:val="00BD0861"/>
    <w:rsid w:val="00BD19FE"/>
    <w:rsid w:val="00BD334A"/>
    <w:rsid w:val="00BD5C10"/>
    <w:rsid w:val="00BD61B1"/>
    <w:rsid w:val="00BD61EC"/>
    <w:rsid w:val="00BD6252"/>
    <w:rsid w:val="00BD7E5E"/>
    <w:rsid w:val="00BE1098"/>
    <w:rsid w:val="00BE2300"/>
    <w:rsid w:val="00BE249D"/>
    <w:rsid w:val="00BE37C9"/>
    <w:rsid w:val="00BE3983"/>
    <w:rsid w:val="00BE517D"/>
    <w:rsid w:val="00BE54F5"/>
    <w:rsid w:val="00BE6900"/>
    <w:rsid w:val="00BE7CB5"/>
    <w:rsid w:val="00BF1AE8"/>
    <w:rsid w:val="00BF1E54"/>
    <w:rsid w:val="00BF20EE"/>
    <w:rsid w:val="00BF251D"/>
    <w:rsid w:val="00BF2C84"/>
    <w:rsid w:val="00BF40AB"/>
    <w:rsid w:val="00BF69B1"/>
    <w:rsid w:val="00BF745F"/>
    <w:rsid w:val="00BF766E"/>
    <w:rsid w:val="00C01835"/>
    <w:rsid w:val="00C0242D"/>
    <w:rsid w:val="00C053E7"/>
    <w:rsid w:val="00C07BC0"/>
    <w:rsid w:val="00C1058C"/>
    <w:rsid w:val="00C1115B"/>
    <w:rsid w:val="00C11803"/>
    <w:rsid w:val="00C16291"/>
    <w:rsid w:val="00C172B1"/>
    <w:rsid w:val="00C17B7C"/>
    <w:rsid w:val="00C203E8"/>
    <w:rsid w:val="00C20E39"/>
    <w:rsid w:val="00C20FDC"/>
    <w:rsid w:val="00C21692"/>
    <w:rsid w:val="00C2276E"/>
    <w:rsid w:val="00C22B65"/>
    <w:rsid w:val="00C23BBA"/>
    <w:rsid w:val="00C25836"/>
    <w:rsid w:val="00C263F1"/>
    <w:rsid w:val="00C2656E"/>
    <w:rsid w:val="00C304A1"/>
    <w:rsid w:val="00C309F6"/>
    <w:rsid w:val="00C31AB0"/>
    <w:rsid w:val="00C337C8"/>
    <w:rsid w:val="00C33A20"/>
    <w:rsid w:val="00C36287"/>
    <w:rsid w:val="00C37211"/>
    <w:rsid w:val="00C401A2"/>
    <w:rsid w:val="00C40727"/>
    <w:rsid w:val="00C40CCA"/>
    <w:rsid w:val="00C40EB5"/>
    <w:rsid w:val="00C42289"/>
    <w:rsid w:val="00C42465"/>
    <w:rsid w:val="00C4336C"/>
    <w:rsid w:val="00C437DE"/>
    <w:rsid w:val="00C43886"/>
    <w:rsid w:val="00C443C1"/>
    <w:rsid w:val="00C463BB"/>
    <w:rsid w:val="00C468B8"/>
    <w:rsid w:val="00C50FF4"/>
    <w:rsid w:val="00C54BB7"/>
    <w:rsid w:val="00C57A93"/>
    <w:rsid w:val="00C57FB4"/>
    <w:rsid w:val="00C60BDC"/>
    <w:rsid w:val="00C60D1E"/>
    <w:rsid w:val="00C6418E"/>
    <w:rsid w:val="00C64212"/>
    <w:rsid w:val="00C6558B"/>
    <w:rsid w:val="00C67E88"/>
    <w:rsid w:val="00C7002F"/>
    <w:rsid w:val="00C70FEE"/>
    <w:rsid w:val="00C75E6A"/>
    <w:rsid w:val="00C7623F"/>
    <w:rsid w:val="00C84655"/>
    <w:rsid w:val="00C860CE"/>
    <w:rsid w:val="00C86108"/>
    <w:rsid w:val="00C8778B"/>
    <w:rsid w:val="00C87D60"/>
    <w:rsid w:val="00C9006E"/>
    <w:rsid w:val="00C9047A"/>
    <w:rsid w:val="00C904C0"/>
    <w:rsid w:val="00C925C1"/>
    <w:rsid w:val="00C97290"/>
    <w:rsid w:val="00C97FFE"/>
    <w:rsid w:val="00CA01EC"/>
    <w:rsid w:val="00CA020F"/>
    <w:rsid w:val="00CA072E"/>
    <w:rsid w:val="00CA1B08"/>
    <w:rsid w:val="00CA2A03"/>
    <w:rsid w:val="00CA3517"/>
    <w:rsid w:val="00CA578D"/>
    <w:rsid w:val="00CA5904"/>
    <w:rsid w:val="00CA6247"/>
    <w:rsid w:val="00CA6B7F"/>
    <w:rsid w:val="00CB497A"/>
    <w:rsid w:val="00CB4D6F"/>
    <w:rsid w:val="00CB6C20"/>
    <w:rsid w:val="00CB71C5"/>
    <w:rsid w:val="00CB73C4"/>
    <w:rsid w:val="00CC3D18"/>
    <w:rsid w:val="00CC5D56"/>
    <w:rsid w:val="00CC683E"/>
    <w:rsid w:val="00CC732C"/>
    <w:rsid w:val="00CD0120"/>
    <w:rsid w:val="00CD06CE"/>
    <w:rsid w:val="00CD1186"/>
    <w:rsid w:val="00CE05EB"/>
    <w:rsid w:val="00CE4CC8"/>
    <w:rsid w:val="00CE761F"/>
    <w:rsid w:val="00CF0BEE"/>
    <w:rsid w:val="00CF24E8"/>
    <w:rsid w:val="00CF28EA"/>
    <w:rsid w:val="00CF53B4"/>
    <w:rsid w:val="00CF62CF"/>
    <w:rsid w:val="00CF6F2F"/>
    <w:rsid w:val="00CF70A5"/>
    <w:rsid w:val="00D024B2"/>
    <w:rsid w:val="00D02B2E"/>
    <w:rsid w:val="00D046B0"/>
    <w:rsid w:val="00D04F84"/>
    <w:rsid w:val="00D05B49"/>
    <w:rsid w:val="00D07F59"/>
    <w:rsid w:val="00D11950"/>
    <w:rsid w:val="00D11DD1"/>
    <w:rsid w:val="00D14918"/>
    <w:rsid w:val="00D149BC"/>
    <w:rsid w:val="00D149E7"/>
    <w:rsid w:val="00D14E13"/>
    <w:rsid w:val="00D14F45"/>
    <w:rsid w:val="00D157AE"/>
    <w:rsid w:val="00D15ED9"/>
    <w:rsid w:val="00D1647A"/>
    <w:rsid w:val="00D1710A"/>
    <w:rsid w:val="00D21F52"/>
    <w:rsid w:val="00D25541"/>
    <w:rsid w:val="00D26E46"/>
    <w:rsid w:val="00D30EA1"/>
    <w:rsid w:val="00D31B93"/>
    <w:rsid w:val="00D3265A"/>
    <w:rsid w:val="00D33C0B"/>
    <w:rsid w:val="00D34688"/>
    <w:rsid w:val="00D34B28"/>
    <w:rsid w:val="00D34B76"/>
    <w:rsid w:val="00D3776B"/>
    <w:rsid w:val="00D41F8B"/>
    <w:rsid w:val="00D41FD9"/>
    <w:rsid w:val="00D426D7"/>
    <w:rsid w:val="00D42E1B"/>
    <w:rsid w:val="00D442A2"/>
    <w:rsid w:val="00D44B96"/>
    <w:rsid w:val="00D45AF1"/>
    <w:rsid w:val="00D4641B"/>
    <w:rsid w:val="00D467B1"/>
    <w:rsid w:val="00D46BF9"/>
    <w:rsid w:val="00D52007"/>
    <w:rsid w:val="00D526BA"/>
    <w:rsid w:val="00D540FA"/>
    <w:rsid w:val="00D55091"/>
    <w:rsid w:val="00D551BE"/>
    <w:rsid w:val="00D55CD7"/>
    <w:rsid w:val="00D60115"/>
    <w:rsid w:val="00D61C3B"/>
    <w:rsid w:val="00D62CBA"/>
    <w:rsid w:val="00D64CFB"/>
    <w:rsid w:val="00D65144"/>
    <w:rsid w:val="00D660B7"/>
    <w:rsid w:val="00D674F4"/>
    <w:rsid w:val="00D703ED"/>
    <w:rsid w:val="00D719B1"/>
    <w:rsid w:val="00D71F8E"/>
    <w:rsid w:val="00D73808"/>
    <w:rsid w:val="00D752AF"/>
    <w:rsid w:val="00D75CC8"/>
    <w:rsid w:val="00D8060D"/>
    <w:rsid w:val="00D8295E"/>
    <w:rsid w:val="00D82A5D"/>
    <w:rsid w:val="00D834F7"/>
    <w:rsid w:val="00D84445"/>
    <w:rsid w:val="00D85776"/>
    <w:rsid w:val="00D85908"/>
    <w:rsid w:val="00D912E4"/>
    <w:rsid w:val="00D9134F"/>
    <w:rsid w:val="00D94390"/>
    <w:rsid w:val="00D95AC1"/>
    <w:rsid w:val="00D97296"/>
    <w:rsid w:val="00D97854"/>
    <w:rsid w:val="00DA0E6F"/>
    <w:rsid w:val="00DA4896"/>
    <w:rsid w:val="00DA59F4"/>
    <w:rsid w:val="00DA7944"/>
    <w:rsid w:val="00DB07E8"/>
    <w:rsid w:val="00DB1AF8"/>
    <w:rsid w:val="00DB30E8"/>
    <w:rsid w:val="00DB556C"/>
    <w:rsid w:val="00DB5A68"/>
    <w:rsid w:val="00DC07AD"/>
    <w:rsid w:val="00DC5709"/>
    <w:rsid w:val="00DC5E70"/>
    <w:rsid w:val="00DC7D4F"/>
    <w:rsid w:val="00DD0000"/>
    <w:rsid w:val="00DD10B4"/>
    <w:rsid w:val="00DD13F0"/>
    <w:rsid w:val="00DD15C4"/>
    <w:rsid w:val="00DD1F56"/>
    <w:rsid w:val="00DD270E"/>
    <w:rsid w:val="00DD3C86"/>
    <w:rsid w:val="00DD3F45"/>
    <w:rsid w:val="00DD424A"/>
    <w:rsid w:val="00DD4E3C"/>
    <w:rsid w:val="00DD4EA5"/>
    <w:rsid w:val="00DD7AD0"/>
    <w:rsid w:val="00DE212B"/>
    <w:rsid w:val="00DF2CFC"/>
    <w:rsid w:val="00DF2DF8"/>
    <w:rsid w:val="00DF3A94"/>
    <w:rsid w:val="00DF51C4"/>
    <w:rsid w:val="00DF7092"/>
    <w:rsid w:val="00DF7214"/>
    <w:rsid w:val="00DF7DE2"/>
    <w:rsid w:val="00E00608"/>
    <w:rsid w:val="00E02197"/>
    <w:rsid w:val="00E03A23"/>
    <w:rsid w:val="00E04FBE"/>
    <w:rsid w:val="00E060B0"/>
    <w:rsid w:val="00E066E9"/>
    <w:rsid w:val="00E1147A"/>
    <w:rsid w:val="00E12EAC"/>
    <w:rsid w:val="00E1344A"/>
    <w:rsid w:val="00E1631C"/>
    <w:rsid w:val="00E1669F"/>
    <w:rsid w:val="00E1771C"/>
    <w:rsid w:val="00E2047E"/>
    <w:rsid w:val="00E20612"/>
    <w:rsid w:val="00E20E00"/>
    <w:rsid w:val="00E218E0"/>
    <w:rsid w:val="00E317CC"/>
    <w:rsid w:val="00E32295"/>
    <w:rsid w:val="00E3284E"/>
    <w:rsid w:val="00E3569E"/>
    <w:rsid w:val="00E36C5A"/>
    <w:rsid w:val="00E37232"/>
    <w:rsid w:val="00E401DD"/>
    <w:rsid w:val="00E42773"/>
    <w:rsid w:val="00E43222"/>
    <w:rsid w:val="00E43934"/>
    <w:rsid w:val="00E4557B"/>
    <w:rsid w:val="00E46FBF"/>
    <w:rsid w:val="00E47C6D"/>
    <w:rsid w:val="00E51F7F"/>
    <w:rsid w:val="00E52534"/>
    <w:rsid w:val="00E5259B"/>
    <w:rsid w:val="00E52CBD"/>
    <w:rsid w:val="00E543AB"/>
    <w:rsid w:val="00E554DA"/>
    <w:rsid w:val="00E55AE7"/>
    <w:rsid w:val="00E55B9B"/>
    <w:rsid w:val="00E56600"/>
    <w:rsid w:val="00E56FF5"/>
    <w:rsid w:val="00E6182C"/>
    <w:rsid w:val="00E61949"/>
    <w:rsid w:val="00E636F5"/>
    <w:rsid w:val="00E63703"/>
    <w:rsid w:val="00E662B4"/>
    <w:rsid w:val="00E67C43"/>
    <w:rsid w:val="00E72844"/>
    <w:rsid w:val="00E73C42"/>
    <w:rsid w:val="00E75292"/>
    <w:rsid w:val="00E758C5"/>
    <w:rsid w:val="00E76272"/>
    <w:rsid w:val="00E80161"/>
    <w:rsid w:val="00E82404"/>
    <w:rsid w:val="00E83B67"/>
    <w:rsid w:val="00E83FB2"/>
    <w:rsid w:val="00E8687E"/>
    <w:rsid w:val="00E90B0F"/>
    <w:rsid w:val="00E90F08"/>
    <w:rsid w:val="00E91ACF"/>
    <w:rsid w:val="00E924DF"/>
    <w:rsid w:val="00E92BF1"/>
    <w:rsid w:val="00E948DF"/>
    <w:rsid w:val="00E95BC9"/>
    <w:rsid w:val="00E96525"/>
    <w:rsid w:val="00E97230"/>
    <w:rsid w:val="00EA3A60"/>
    <w:rsid w:val="00EA47BF"/>
    <w:rsid w:val="00EA48B9"/>
    <w:rsid w:val="00EA5BEE"/>
    <w:rsid w:val="00EA68BB"/>
    <w:rsid w:val="00EA6C30"/>
    <w:rsid w:val="00EA7666"/>
    <w:rsid w:val="00EA7C08"/>
    <w:rsid w:val="00EB1178"/>
    <w:rsid w:val="00EB18F9"/>
    <w:rsid w:val="00EB1F9F"/>
    <w:rsid w:val="00EB2064"/>
    <w:rsid w:val="00EB3481"/>
    <w:rsid w:val="00EB3568"/>
    <w:rsid w:val="00EB3FC9"/>
    <w:rsid w:val="00EB593A"/>
    <w:rsid w:val="00EB5EB7"/>
    <w:rsid w:val="00EB62CD"/>
    <w:rsid w:val="00EB71D9"/>
    <w:rsid w:val="00EB7F5A"/>
    <w:rsid w:val="00EC0B69"/>
    <w:rsid w:val="00EC1B2B"/>
    <w:rsid w:val="00EC41B4"/>
    <w:rsid w:val="00EC504D"/>
    <w:rsid w:val="00EC7984"/>
    <w:rsid w:val="00ED067D"/>
    <w:rsid w:val="00ED0C0D"/>
    <w:rsid w:val="00ED0E71"/>
    <w:rsid w:val="00ED3FE2"/>
    <w:rsid w:val="00ED4983"/>
    <w:rsid w:val="00EE128F"/>
    <w:rsid w:val="00EE231A"/>
    <w:rsid w:val="00EE2BAC"/>
    <w:rsid w:val="00EE3CC2"/>
    <w:rsid w:val="00EE658D"/>
    <w:rsid w:val="00EE6B48"/>
    <w:rsid w:val="00EE76CD"/>
    <w:rsid w:val="00EE7954"/>
    <w:rsid w:val="00EF17BD"/>
    <w:rsid w:val="00EF40E3"/>
    <w:rsid w:val="00EF491A"/>
    <w:rsid w:val="00EF5995"/>
    <w:rsid w:val="00EF6067"/>
    <w:rsid w:val="00EF62D8"/>
    <w:rsid w:val="00EF73D5"/>
    <w:rsid w:val="00EF7ECC"/>
    <w:rsid w:val="00F00738"/>
    <w:rsid w:val="00F01373"/>
    <w:rsid w:val="00F01FFC"/>
    <w:rsid w:val="00F028D7"/>
    <w:rsid w:val="00F02B4F"/>
    <w:rsid w:val="00F05512"/>
    <w:rsid w:val="00F078A9"/>
    <w:rsid w:val="00F11BE7"/>
    <w:rsid w:val="00F12D56"/>
    <w:rsid w:val="00F14F4B"/>
    <w:rsid w:val="00F15B6C"/>
    <w:rsid w:val="00F168EC"/>
    <w:rsid w:val="00F20EA1"/>
    <w:rsid w:val="00F210CF"/>
    <w:rsid w:val="00F21908"/>
    <w:rsid w:val="00F256E0"/>
    <w:rsid w:val="00F25823"/>
    <w:rsid w:val="00F26B87"/>
    <w:rsid w:val="00F30734"/>
    <w:rsid w:val="00F30D9F"/>
    <w:rsid w:val="00F31D2A"/>
    <w:rsid w:val="00F32152"/>
    <w:rsid w:val="00F3264D"/>
    <w:rsid w:val="00F33138"/>
    <w:rsid w:val="00F345A2"/>
    <w:rsid w:val="00F3732E"/>
    <w:rsid w:val="00F37596"/>
    <w:rsid w:val="00F37762"/>
    <w:rsid w:val="00F37E35"/>
    <w:rsid w:val="00F4006D"/>
    <w:rsid w:val="00F41C10"/>
    <w:rsid w:val="00F41DCF"/>
    <w:rsid w:val="00F43C4A"/>
    <w:rsid w:val="00F43C72"/>
    <w:rsid w:val="00F4650C"/>
    <w:rsid w:val="00F46520"/>
    <w:rsid w:val="00F544CA"/>
    <w:rsid w:val="00F54DEB"/>
    <w:rsid w:val="00F557D5"/>
    <w:rsid w:val="00F562BC"/>
    <w:rsid w:val="00F562EE"/>
    <w:rsid w:val="00F5794C"/>
    <w:rsid w:val="00F616D4"/>
    <w:rsid w:val="00F63A41"/>
    <w:rsid w:val="00F64E69"/>
    <w:rsid w:val="00F666CE"/>
    <w:rsid w:val="00F667C7"/>
    <w:rsid w:val="00F70BF6"/>
    <w:rsid w:val="00F71F6D"/>
    <w:rsid w:val="00F72726"/>
    <w:rsid w:val="00F733D9"/>
    <w:rsid w:val="00F742DF"/>
    <w:rsid w:val="00F7523E"/>
    <w:rsid w:val="00F758E0"/>
    <w:rsid w:val="00F77539"/>
    <w:rsid w:val="00F77643"/>
    <w:rsid w:val="00F777DF"/>
    <w:rsid w:val="00F80767"/>
    <w:rsid w:val="00F808B7"/>
    <w:rsid w:val="00F80D09"/>
    <w:rsid w:val="00F81D4C"/>
    <w:rsid w:val="00F81DFD"/>
    <w:rsid w:val="00F82843"/>
    <w:rsid w:val="00F83B36"/>
    <w:rsid w:val="00F845B8"/>
    <w:rsid w:val="00F853F1"/>
    <w:rsid w:val="00F85858"/>
    <w:rsid w:val="00F86443"/>
    <w:rsid w:val="00F86607"/>
    <w:rsid w:val="00F87457"/>
    <w:rsid w:val="00F87661"/>
    <w:rsid w:val="00F90F3D"/>
    <w:rsid w:val="00F93779"/>
    <w:rsid w:val="00F93983"/>
    <w:rsid w:val="00F93D65"/>
    <w:rsid w:val="00F95515"/>
    <w:rsid w:val="00F9640C"/>
    <w:rsid w:val="00F972B2"/>
    <w:rsid w:val="00F978E7"/>
    <w:rsid w:val="00FA2F1B"/>
    <w:rsid w:val="00FA38F7"/>
    <w:rsid w:val="00FA4C54"/>
    <w:rsid w:val="00FA683A"/>
    <w:rsid w:val="00FA7DC4"/>
    <w:rsid w:val="00FB0F8A"/>
    <w:rsid w:val="00FB1043"/>
    <w:rsid w:val="00FB1744"/>
    <w:rsid w:val="00FB17D1"/>
    <w:rsid w:val="00FB21FC"/>
    <w:rsid w:val="00FB2ADD"/>
    <w:rsid w:val="00FB3F73"/>
    <w:rsid w:val="00FB6D16"/>
    <w:rsid w:val="00FB7B9B"/>
    <w:rsid w:val="00FB7D8B"/>
    <w:rsid w:val="00FC2421"/>
    <w:rsid w:val="00FC61E4"/>
    <w:rsid w:val="00FC763B"/>
    <w:rsid w:val="00FC77E1"/>
    <w:rsid w:val="00FD0709"/>
    <w:rsid w:val="00FD18C8"/>
    <w:rsid w:val="00FD348D"/>
    <w:rsid w:val="00FD43B0"/>
    <w:rsid w:val="00FD5DB9"/>
    <w:rsid w:val="00FD6771"/>
    <w:rsid w:val="00FD69BC"/>
    <w:rsid w:val="00FE09A0"/>
    <w:rsid w:val="00FE12CF"/>
    <w:rsid w:val="00FE202A"/>
    <w:rsid w:val="00FE2E1A"/>
    <w:rsid w:val="00FE3314"/>
    <w:rsid w:val="00FE3A58"/>
    <w:rsid w:val="00FE4AE7"/>
    <w:rsid w:val="00FE4DE5"/>
    <w:rsid w:val="00FE4E8A"/>
    <w:rsid w:val="00FE704C"/>
    <w:rsid w:val="00FE7901"/>
    <w:rsid w:val="00FF11AD"/>
    <w:rsid w:val="00FF2169"/>
    <w:rsid w:val="00FF41A3"/>
    <w:rsid w:val="00FF50A0"/>
    <w:rsid w:val="00FF5CE0"/>
    <w:rsid w:val="00FF6AE3"/>
    <w:rsid w:val="00FF6C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E15F-3693-4CE4-8108-6E2B20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4F5"/>
    <w:rPr>
      <w:rFonts w:ascii="Times New Roman" w:eastAsia="Times New Roman" w:hAnsi="Times New Roman"/>
      <w:lang w:val="es-ES_tradnl" w:eastAsia="es-ES"/>
    </w:rPr>
  </w:style>
  <w:style w:type="paragraph" w:styleId="Heading1">
    <w:name w:val="heading 1"/>
    <w:basedOn w:val="Normal"/>
    <w:next w:val="Normal"/>
    <w:link w:val="Heading1Char"/>
    <w:uiPriority w:val="9"/>
    <w:qFormat/>
    <w:rsid w:val="00BE54F5"/>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E54F5"/>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BE54F5"/>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AB1442"/>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5E444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4F5"/>
    <w:rPr>
      <w:rFonts w:ascii="Segoe UI" w:hAnsi="Segoe UI" w:cs="Segoe UI"/>
      <w:sz w:val="18"/>
      <w:szCs w:val="18"/>
    </w:rPr>
  </w:style>
  <w:style w:type="character" w:customStyle="1" w:styleId="BalloonTextChar">
    <w:name w:val="Balloon Text Char"/>
    <w:link w:val="BalloonText"/>
    <w:uiPriority w:val="99"/>
    <w:semiHidden/>
    <w:rsid w:val="00BE54F5"/>
    <w:rPr>
      <w:rFonts w:ascii="Segoe UI" w:eastAsia="Times New Roman" w:hAnsi="Segoe UI" w:cs="Segoe UI"/>
      <w:sz w:val="18"/>
      <w:szCs w:val="18"/>
      <w:lang w:val="es-ES_tradnl" w:eastAsia="es-ES"/>
    </w:rPr>
  </w:style>
  <w:style w:type="character" w:customStyle="1" w:styleId="Heading1Char">
    <w:name w:val="Heading 1 Char"/>
    <w:link w:val="Heading1"/>
    <w:uiPriority w:val="9"/>
    <w:rsid w:val="00BE54F5"/>
    <w:rPr>
      <w:rFonts w:ascii="Cambria" w:eastAsia="Times New Roman" w:hAnsi="Cambria" w:cs="Times New Roman"/>
      <w:b/>
      <w:bCs/>
      <w:kern w:val="32"/>
      <w:sz w:val="32"/>
      <w:szCs w:val="32"/>
      <w:lang w:val="es-ES_tradnl" w:eastAsia="es-ES"/>
    </w:rPr>
  </w:style>
  <w:style w:type="paragraph" w:styleId="BodyText3">
    <w:name w:val="Body Text 3"/>
    <w:basedOn w:val="Normal"/>
    <w:link w:val="BodyText3Char"/>
    <w:rsid w:val="00BE54F5"/>
    <w:pPr>
      <w:jc w:val="right"/>
    </w:pPr>
    <w:rPr>
      <w:sz w:val="16"/>
      <w:szCs w:val="16"/>
    </w:rPr>
  </w:style>
  <w:style w:type="character" w:customStyle="1" w:styleId="BodyText3Char">
    <w:name w:val="Body Text 3 Char"/>
    <w:link w:val="BodyText3"/>
    <w:rsid w:val="00BE54F5"/>
    <w:rPr>
      <w:rFonts w:ascii="Times New Roman" w:eastAsia="Times New Roman" w:hAnsi="Times New Roman" w:cs="Times New Roman"/>
      <w:sz w:val="16"/>
      <w:szCs w:val="16"/>
      <w:lang w:val="es-ES_tradnl" w:eastAsia="es-ES"/>
    </w:rPr>
  </w:style>
  <w:style w:type="paragraph" w:styleId="ListParagraph">
    <w:name w:val="List Paragraph"/>
    <w:basedOn w:val="Normal"/>
    <w:uiPriority w:val="34"/>
    <w:qFormat/>
    <w:rsid w:val="00BE54F5"/>
    <w:pPr>
      <w:ind w:left="720"/>
      <w:contextualSpacing/>
    </w:pPr>
  </w:style>
  <w:style w:type="character" w:customStyle="1" w:styleId="Heading2Char">
    <w:name w:val="Heading 2 Char"/>
    <w:link w:val="Heading2"/>
    <w:uiPriority w:val="9"/>
    <w:rsid w:val="00BE54F5"/>
    <w:rPr>
      <w:rFonts w:ascii="Calibri Light" w:eastAsia="Times New Roman" w:hAnsi="Calibri Light" w:cs="Times New Roman"/>
      <w:color w:val="2E74B5"/>
      <w:sz w:val="26"/>
      <w:szCs w:val="26"/>
      <w:lang w:val="es-ES_tradnl" w:eastAsia="es-ES"/>
    </w:rPr>
  </w:style>
  <w:style w:type="character" w:customStyle="1" w:styleId="Heading3Char">
    <w:name w:val="Heading 3 Char"/>
    <w:link w:val="Heading3"/>
    <w:uiPriority w:val="9"/>
    <w:rsid w:val="00BE54F5"/>
    <w:rPr>
      <w:rFonts w:ascii="Calibri Light" w:eastAsia="Times New Roman" w:hAnsi="Calibri Light" w:cs="Times New Roman"/>
      <w:color w:val="1F4D78"/>
      <w:sz w:val="24"/>
      <w:szCs w:val="24"/>
      <w:lang w:val="es-ES_tradnl" w:eastAsia="es-ES"/>
    </w:rPr>
  </w:style>
  <w:style w:type="paragraph" w:styleId="BodyText2">
    <w:name w:val="Body Text 2"/>
    <w:basedOn w:val="Normal"/>
    <w:link w:val="BodyText2Char"/>
    <w:uiPriority w:val="99"/>
    <w:unhideWhenUsed/>
    <w:rsid w:val="00BE54F5"/>
    <w:pPr>
      <w:spacing w:after="120" w:line="480" w:lineRule="auto"/>
    </w:pPr>
  </w:style>
  <w:style w:type="character" w:customStyle="1" w:styleId="BodyText2Char">
    <w:name w:val="Body Text 2 Char"/>
    <w:link w:val="BodyText2"/>
    <w:uiPriority w:val="99"/>
    <w:rsid w:val="00BE54F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610721"/>
    <w:pPr>
      <w:tabs>
        <w:tab w:val="center" w:pos="4419"/>
        <w:tab w:val="right" w:pos="8838"/>
      </w:tabs>
    </w:pPr>
  </w:style>
  <w:style w:type="character" w:customStyle="1" w:styleId="HeaderChar">
    <w:name w:val="Header Char"/>
    <w:link w:val="Header"/>
    <w:uiPriority w:val="99"/>
    <w:rsid w:val="00610721"/>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610721"/>
    <w:pPr>
      <w:tabs>
        <w:tab w:val="center" w:pos="4419"/>
        <w:tab w:val="right" w:pos="8838"/>
      </w:tabs>
    </w:pPr>
  </w:style>
  <w:style w:type="character" w:customStyle="1" w:styleId="FooterChar">
    <w:name w:val="Footer Char"/>
    <w:link w:val="Footer"/>
    <w:uiPriority w:val="99"/>
    <w:rsid w:val="00610721"/>
    <w:rPr>
      <w:rFonts w:ascii="Times New Roman" w:eastAsia="Times New Roman" w:hAnsi="Times New Roman" w:cs="Times New Roman"/>
      <w:sz w:val="20"/>
      <w:szCs w:val="20"/>
      <w:lang w:val="es-ES_tradnl" w:eastAsia="es-ES"/>
    </w:rPr>
  </w:style>
  <w:style w:type="character" w:styleId="Hyperlink">
    <w:name w:val="Hyperlink"/>
    <w:uiPriority w:val="99"/>
    <w:unhideWhenUsed/>
    <w:rsid w:val="00677764"/>
    <w:rPr>
      <w:color w:val="0563C1"/>
      <w:u w:val="single"/>
    </w:rPr>
  </w:style>
  <w:style w:type="paragraph" w:styleId="TOCHeading">
    <w:name w:val="TOC Heading"/>
    <w:basedOn w:val="Heading1"/>
    <w:next w:val="Normal"/>
    <w:uiPriority w:val="39"/>
    <w:unhideWhenUsed/>
    <w:qFormat/>
    <w:rsid w:val="00AB1442"/>
    <w:pPr>
      <w:keepLines/>
      <w:spacing w:before="240" w:line="259" w:lineRule="auto"/>
      <w:jc w:val="left"/>
      <w:outlineLvl w:val="9"/>
    </w:pPr>
    <w:rPr>
      <w:rFonts w:ascii="Calibri Light" w:hAnsi="Calibri Light"/>
      <w:b w:val="0"/>
      <w:bCs w:val="0"/>
      <w:color w:val="2E74B5"/>
      <w:kern w:val="0"/>
      <w:lang w:val="es-SV" w:eastAsia="es-SV"/>
    </w:rPr>
  </w:style>
  <w:style w:type="paragraph" w:styleId="TOC1">
    <w:name w:val="toc 1"/>
    <w:basedOn w:val="Normal"/>
    <w:next w:val="Normal"/>
    <w:autoRedefine/>
    <w:uiPriority w:val="39"/>
    <w:unhideWhenUsed/>
    <w:rsid w:val="00AB1442"/>
    <w:pPr>
      <w:spacing w:after="100"/>
    </w:pPr>
  </w:style>
  <w:style w:type="paragraph" w:styleId="TOC2">
    <w:name w:val="toc 2"/>
    <w:basedOn w:val="Normal"/>
    <w:next w:val="Normal"/>
    <w:autoRedefine/>
    <w:uiPriority w:val="39"/>
    <w:unhideWhenUsed/>
    <w:rsid w:val="000C6FC2"/>
    <w:pPr>
      <w:tabs>
        <w:tab w:val="right" w:leader="dot" w:pos="9394"/>
      </w:tabs>
      <w:spacing w:after="100"/>
      <w:ind w:left="328" w:firstLine="90"/>
    </w:pPr>
  </w:style>
  <w:style w:type="paragraph" w:styleId="TOC3">
    <w:name w:val="toc 3"/>
    <w:basedOn w:val="Normal"/>
    <w:next w:val="Normal"/>
    <w:autoRedefine/>
    <w:uiPriority w:val="39"/>
    <w:unhideWhenUsed/>
    <w:rsid w:val="00AB1442"/>
    <w:pPr>
      <w:spacing w:after="100"/>
      <w:ind w:left="400"/>
    </w:pPr>
  </w:style>
  <w:style w:type="character" w:customStyle="1" w:styleId="Heading4Char">
    <w:name w:val="Heading 4 Char"/>
    <w:link w:val="Heading4"/>
    <w:uiPriority w:val="9"/>
    <w:rsid w:val="00AB1442"/>
    <w:rPr>
      <w:rFonts w:ascii="Calibri Light" w:eastAsia="Times New Roman" w:hAnsi="Calibri Light" w:cs="Times New Roman"/>
      <w:i/>
      <w:iCs/>
      <w:color w:val="2E74B5"/>
      <w:sz w:val="20"/>
      <w:szCs w:val="20"/>
      <w:lang w:val="es-ES_tradnl" w:eastAsia="es-ES"/>
    </w:rPr>
  </w:style>
  <w:style w:type="paragraph" w:customStyle="1" w:styleId="Default">
    <w:name w:val="Default"/>
    <w:rsid w:val="000C0E74"/>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E72844"/>
  </w:style>
  <w:style w:type="character" w:customStyle="1" w:styleId="FootnoteTextChar">
    <w:name w:val="Footnote Text Char"/>
    <w:link w:val="FootnoteText"/>
    <w:uiPriority w:val="99"/>
    <w:semiHidden/>
    <w:rsid w:val="00E72844"/>
    <w:rPr>
      <w:rFonts w:ascii="Times New Roman" w:eastAsia="Times New Roman" w:hAnsi="Times New Roman"/>
      <w:lang w:val="es-ES_tradnl" w:eastAsia="es-ES"/>
    </w:rPr>
  </w:style>
  <w:style w:type="character" w:styleId="FootnoteReference">
    <w:name w:val="footnote reference"/>
    <w:semiHidden/>
    <w:unhideWhenUsed/>
    <w:rsid w:val="00E72844"/>
    <w:rPr>
      <w:vertAlign w:val="superscript"/>
    </w:rPr>
  </w:style>
  <w:style w:type="paragraph" w:customStyle="1" w:styleId="Textoindependiente1">
    <w:name w:val="Texto independiente 1"/>
    <w:basedOn w:val="BodyText2"/>
    <w:rsid w:val="00083368"/>
    <w:rPr>
      <w:rFonts w:ascii="Calibri" w:hAnsi="Calibri"/>
      <w:lang w:val="en-US" w:eastAsia="en-US"/>
    </w:rPr>
  </w:style>
  <w:style w:type="paragraph" w:customStyle="1" w:styleId="Outline1L1">
    <w:name w:val="Outline1_L1"/>
    <w:basedOn w:val="Normal"/>
    <w:next w:val="Outline1L2"/>
    <w:uiPriority w:val="99"/>
    <w:rsid w:val="00083368"/>
    <w:pPr>
      <w:keepNext/>
      <w:numPr>
        <w:numId w:val="9"/>
      </w:numPr>
      <w:spacing w:after="240"/>
      <w:outlineLvl w:val="0"/>
    </w:pPr>
    <w:rPr>
      <w:rFonts w:eastAsia="MS Mincho"/>
      <w:sz w:val="24"/>
      <w:szCs w:val="24"/>
      <w:lang w:val="en-US" w:eastAsia="en-US"/>
    </w:rPr>
  </w:style>
  <w:style w:type="paragraph" w:customStyle="1" w:styleId="Outline1L2">
    <w:name w:val="Outline1_L2"/>
    <w:basedOn w:val="Outline1L1"/>
    <w:next w:val="Outline1L1"/>
    <w:uiPriority w:val="99"/>
    <w:rsid w:val="00083368"/>
    <w:pPr>
      <w:numPr>
        <w:ilvl w:val="1"/>
      </w:numPr>
      <w:outlineLvl w:val="1"/>
    </w:pPr>
  </w:style>
  <w:style w:type="paragraph" w:customStyle="1" w:styleId="Outline1L3">
    <w:name w:val="Outline1_L3"/>
    <w:basedOn w:val="Outline1L2"/>
    <w:next w:val="Outline1L1"/>
    <w:uiPriority w:val="99"/>
    <w:rsid w:val="00083368"/>
    <w:pPr>
      <w:keepNext w:val="0"/>
      <w:numPr>
        <w:ilvl w:val="2"/>
      </w:numPr>
      <w:tabs>
        <w:tab w:val="num" w:pos="2241"/>
      </w:tabs>
      <w:outlineLvl w:val="2"/>
    </w:pPr>
  </w:style>
  <w:style w:type="paragraph" w:customStyle="1" w:styleId="Outline1L4">
    <w:name w:val="Outline1_L4"/>
    <w:basedOn w:val="Outline1L3"/>
    <w:next w:val="Normal"/>
    <w:uiPriority w:val="99"/>
    <w:rsid w:val="00083368"/>
    <w:pPr>
      <w:numPr>
        <w:ilvl w:val="3"/>
      </w:numPr>
      <w:tabs>
        <w:tab w:val="clear" w:pos="2880"/>
        <w:tab w:val="num" w:pos="2241"/>
        <w:tab w:val="num" w:pos="2870"/>
      </w:tabs>
      <w:outlineLvl w:val="3"/>
    </w:pPr>
  </w:style>
  <w:style w:type="paragraph" w:customStyle="1" w:styleId="Outline1L5">
    <w:name w:val="Outline1_L5"/>
    <w:basedOn w:val="Outline1L4"/>
    <w:next w:val="Normal"/>
    <w:uiPriority w:val="99"/>
    <w:rsid w:val="00083368"/>
    <w:pPr>
      <w:numPr>
        <w:ilvl w:val="4"/>
      </w:numPr>
      <w:outlineLvl w:val="4"/>
    </w:pPr>
  </w:style>
  <w:style w:type="paragraph" w:customStyle="1" w:styleId="Outline1L6">
    <w:name w:val="Outline1_L6"/>
    <w:basedOn w:val="Outline1L5"/>
    <w:next w:val="Normal"/>
    <w:uiPriority w:val="99"/>
    <w:rsid w:val="00083368"/>
    <w:pPr>
      <w:numPr>
        <w:ilvl w:val="5"/>
      </w:numPr>
      <w:outlineLvl w:val="5"/>
    </w:pPr>
  </w:style>
  <w:style w:type="character" w:customStyle="1" w:styleId="Heading5Char">
    <w:name w:val="Heading 5 Char"/>
    <w:link w:val="Heading5"/>
    <w:uiPriority w:val="9"/>
    <w:rsid w:val="005E4441"/>
    <w:rPr>
      <w:rFonts w:ascii="Calibri" w:eastAsia="Times New Roman" w:hAnsi="Calibri" w:cs="Times New Roman"/>
      <w:b/>
      <w:bCs/>
      <w:i/>
      <w:iCs/>
      <w:sz w:val="26"/>
      <w:szCs w:val="26"/>
      <w:lang w:val="es-ES_tradnl" w:eastAsia="es-ES"/>
    </w:rPr>
  </w:style>
  <w:style w:type="character" w:styleId="SubtleReference">
    <w:name w:val="Subtle Reference"/>
    <w:uiPriority w:val="31"/>
    <w:qFormat/>
    <w:rsid w:val="00AD19BE"/>
    <w:rPr>
      <w:smallCaps/>
      <w:color w:val="5A5A5A"/>
    </w:rPr>
  </w:style>
  <w:style w:type="paragraph" w:styleId="Quote">
    <w:name w:val="Quote"/>
    <w:basedOn w:val="Normal"/>
    <w:next w:val="Normal"/>
    <w:link w:val="QuoteChar"/>
    <w:uiPriority w:val="29"/>
    <w:qFormat/>
    <w:rsid w:val="00AD19BE"/>
    <w:pPr>
      <w:spacing w:before="200" w:after="160"/>
      <w:ind w:left="864" w:right="864"/>
      <w:jc w:val="center"/>
    </w:pPr>
    <w:rPr>
      <w:i/>
      <w:iCs/>
      <w:color w:val="404040"/>
    </w:rPr>
  </w:style>
  <w:style w:type="character" w:customStyle="1" w:styleId="QuoteChar">
    <w:name w:val="Quote Char"/>
    <w:link w:val="Quote"/>
    <w:uiPriority w:val="29"/>
    <w:rsid w:val="00AD19BE"/>
    <w:rPr>
      <w:rFonts w:ascii="Times New Roman" w:eastAsia="Times New Roman" w:hAnsi="Times New Roman"/>
      <w:i/>
      <w:iCs/>
      <w:color w:val="404040"/>
      <w:lang w:val="es-ES_tradnl" w:eastAsia="es-ES"/>
    </w:rPr>
  </w:style>
  <w:style w:type="paragraph" w:styleId="EndnoteText">
    <w:name w:val="endnote text"/>
    <w:basedOn w:val="Normal"/>
    <w:link w:val="EndnoteTextChar"/>
    <w:rsid w:val="00F80D09"/>
    <w:rPr>
      <w:lang w:val="es-ES"/>
    </w:rPr>
  </w:style>
  <w:style w:type="character" w:customStyle="1" w:styleId="EndnoteTextChar">
    <w:name w:val="Endnote Text Char"/>
    <w:link w:val="EndnoteText"/>
    <w:rsid w:val="00F80D09"/>
    <w:rPr>
      <w:rFonts w:ascii="Times New Roman" w:eastAsia="Times New Roman" w:hAnsi="Times New Roman"/>
      <w:lang w:val="es-ES" w:eastAsia="es-ES"/>
    </w:rPr>
  </w:style>
  <w:style w:type="character" w:styleId="CommentReference">
    <w:name w:val="annotation reference"/>
    <w:uiPriority w:val="99"/>
    <w:semiHidden/>
    <w:unhideWhenUsed/>
    <w:rsid w:val="00F5794C"/>
    <w:rPr>
      <w:sz w:val="16"/>
      <w:szCs w:val="16"/>
    </w:rPr>
  </w:style>
  <w:style w:type="paragraph" w:styleId="CommentText">
    <w:name w:val="annotation text"/>
    <w:basedOn w:val="Normal"/>
    <w:link w:val="CommentTextChar"/>
    <w:uiPriority w:val="99"/>
    <w:semiHidden/>
    <w:unhideWhenUsed/>
    <w:rsid w:val="00F5794C"/>
  </w:style>
  <w:style w:type="character" w:customStyle="1" w:styleId="CommentTextChar">
    <w:name w:val="Comment Text Char"/>
    <w:link w:val="CommentText"/>
    <w:uiPriority w:val="99"/>
    <w:semiHidden/>
    <w:rsid w:val="00F5794C"/>
    <w:rPr>
      <w:rFonts w:ascii="Times New Roman" w:eastAsia="Times New Roman" w:hAnsi="Times New Roman"/>
      <w:lang w:val="es-ES_tradnl" w:eastAsia="es-ES"/>
    </w:rPr>
  </w:style>
  <w:style w:type="paragraph" w:styleId="CommentSubject">
    <w:name w:val="annotation subject"/>
    <w:basedOn w:val="CommentText"/>
    <w:next w:val="CommentText"/>
    <w:link w:val="CommentSubjectChar"/>
    <w:uiPriority w:val="99"/>
    <w:semiHidden/>
    <w:unhideWhenUsed/>
    <w:rsid w:val="00F5794C"/>
    <w:rPr>
      <w:b/>
      <w:bCs/>
    </w:rPr>
  </w:style>
  <w:style w:type="character" w:customStyle="1" w:styleId="CommentSubjectChar">
    <w:name w:val="Comment Subject Char"/>
    <w:link w:val="CommentSubject"/>
    <w:uiPriority w:val="99"/>
    <w:semiHidden/>
    <w:rsid w:val="00F5794C"/>
    <w:rPr>
      <w:rFonts w:ascii="Times New Roman" w:eastAsia="Times New Roman" w:hAnsi="Times New Roman"/>
      <w:b/>
      <w:bCs/>
      <w:lang w:val="es-ES_tradnl" w:eastAsia="es-ES"/>
    </w:rPr>
  </w:style>
  <w:style w:type="table" w:customStyle="1" w:styleId="Tablaconcuadrcula4-nfasis11">
    <w:name w:val="Tabla con cuadrícula 4 - Énfasis 11"/>
    <w:basedOn w:val="TableNormal"/>
    <w:uiPriority w:val="49"/>
    <w:rsid w:val="0034685B"/>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714E28"/>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0">
      <w:bodyDiv w:val="1"/>
      <w:marLeft w:val="0"/>
      <w:marRight w:val="0"/>
      <w:marTop w:val="0"/>
      <w:marBottom w:val="0"/>
      <w:divBdr>
        <w:top w:val="none" w:sz="0" w:space="0" w:color="auto"/>
        <w:left w:val="none" w:sz="0" w:space="0" w:color="auto"/>
        <w:bottom w:val="none" w:sz="0" w:space="0" w:color="auto"/>
        <w:right w:val="none" w:sz="0" w:space="0" w:color="auto"/>
      </w:divBdr>
    </w:div>
    <w:div w:id="257834622">
      <w:bodyDiv w:val="1"/>
      <w:marLeft w:val="0"/>
      <w:marRight w:val="0"/>
      <w:marTop w:val="0"/>
      <w:marBottom w:val="0"/>
      <w:divBdr>
        <w:top w:val="none" w:sz="0" w:space="0" w:color="auto"/>
        <w:left w:val="none" w:sz="0" w:space="0" w:color="auto"/>
        <w:bottom w:val="none" w:sz="0" w:space="0" w:color="auto"/>
        <w:right w:val="none" w:sz="0" w:space="0" w:color="auto"/>
      </w:divBdr>
    </w:div>
    <w:div w:id="323823292">
      <w:bodyDiv w:val="1"/>
      <w:marLeft w:val="0"/>
      <w:marRight w:val="0"/>
      <w:marTop w:val="0"/>
      <w:marBottom w:val="0"/>
      <w:divBdr>
        <w:top w:val="none" w:sz="0" w:space="0" w:color="auto"/>
        <w:left w:val="none" w:sz="0" w:space="0" w:color="auto"/>
        <w:bottom w:val="none" w:sz="0" w:space="0" w:color="auto"/>
        <w:right w:val="none" w:sz="0" w:space="0" w:color="auto"/>
      </w:divBdr>
    </w:div>
    <w:div w:id="463889327">
      <w:bodyDiv w:val="1"/>
      <w:marLeft w:val="0"/>
      <w:marRight w:val="0"/>
      <w:marTop w:val="0"/>
      <w:marBottom w:val="0"/>
      <w:divBdr>
        <w:top w:val="none" w:sz="0" w:space="0" w:color="auto"/>
        <w:left w:val="none" w:sz="0" w:space="0" w:color="auto"/>
        <w:bottom w:val="none" w:sz="0" w:space="0" w:color="auto"/>
        <w:right w:val="none" w:sz="0" w:space="0" w:color="auto"/>
      </w:divBdr>
    </w:div>
    <w:div w:id="874851107">
      <w:bodyDiv w:val="1"/>
      <w:marLeft w:val="0"/>
      <w:marRight w:val="0"/>
      <w:marTop w:val="0"/>
      <w:marBottom w:val="0"/>
      <w:divBdr>
        <w:top w:val="none" w:sz="0" w:space="0" w:color="auto"/>
        <w:left w:val="none" w:sz="0" w:space="0" w:color="auto"/>
        <w:bottom w:val="none" w:sz="0" w:space="0" w:color="auto"/>
        <w:right w:val="none" w:sz="0" w:space="0" w:color="auto"/>
      </w:divBdr>
    </w:div>
    <w:div w:id="879174420">
      <w:bodyDiv w:val="1"/>
      <w:marLeft w:val="0"/>
      <w:marRight w:val="0"/>
      <w:marTop w:val="0"/>
      <w:marBottom w:val="0"/>
      <w:divBdr>
        <w:top w:val="none" w:sz="0" w:space="0" w:color="auto"/>
        <w:left w:val="none" w:sz="0" w:space="0" w:color="auto"/>
        <w:bottom w:val="none" w:sz="0" w:space="0" w:color="auto"/>
        <w:right w:val="none" w:sz="0" w:space="0" w:color="auto"/>
      </w:divBdr>
    </w:div>
    <w:div w:id="1189491628">
      <w:bodyDiv w:val="1"/>
      <w:marLeft w:val="0"/>
      <w:marRight w:val="0"/>
      <w:marTop w:val="0"/>
      <w:marBottom w:val="0"/>
      <w:divBdr>
        <w:top w:val="none" w:sz="0" w:space="0" w:color="auto"/>
        <w:left w:val="none" w:sz="0" w:space="0" w:color="auto"/>
        <w:bottom w:val="none" w:sz="0" w:space="0" w:color="auto"/>
        <w:right w:val="none" w:sz="0" w:space="0" w:color="auto"/>
      </w:divBdr>
    </w:div>
    <w:div w:id="1284653997">
      <w:bodyDiv w:val="1"/>
      <w:marLeft w:val="0"/>
      <w:marRight w:val="0"/>
      <w:marTop w:val="0"/>
      <w:marBottom w:val="0"/>
      <w:divBdr>
        <w:top w:val="none" w:sz="0" w:space="0" w:color="auto"/>
        <w:left w:val="none" w:sz="0" w:space="0" w:color="auto"/>
        <w:bottom w:val="none" w:sz="0" w:space="0" w:color="auto"/>
        <w:right w:val="none" w:sz="0" w:space="0" w:color="auto"/>
      </w:divBdr>
    </w:div>
    <w:div w:id="1348947095">
      <w:bodyDiv w:val="1"/>
      <w:marLeft w:val="0"/>
      <w:marRight w:val="0"/>
      <w:marTop w:val="0"/>
      <w:marBottom w:val="0"/>
      <w:divBdr>
        <w:top w:val="none" w:sz="0" w:space="0" w:color="auto"/>
        <w:left w:val="none" w:sz="0" w:space="0" w:color="auto"/>
        <w:bottom w:val="none" w:sz="0" w:space="0" w:color="auto"/>
        <w:right w:val="none" w:sz="0" w:space="0" w:color="auto"/>
      </w:divBdr>
    </w:div>
    <w:div w:id="1431925961">
      <w:bodyDiv w:val="1"/>
      <w:marLeft w:val="0"/>
      <w:marRight w:val="0"/>
      <w:marTop w:val="0"/>
      <w:marBottom w:val="0"/>
      <w:divBdr>
        <w:top w:val="none" w:sz="0" w:space="0" w:color="auto"/>
        <w:left w:val="none" w:sz="0" w:space="0" w:color="auto"/>
        <w:bottom w:val="none" w:sz="0" w:space="0" w:color="auto"/>
        <w:right w:val="none" w:sz="0" w:space="0" w:color="auto"/>
      </w:divBdr>
    </w:div>
    <w:div w:id="1614166337">
      <w:bodyDiv w:val="1"/>
      <w:marLeft w:val="0"/>
      <w:marRight w:val="0"/>
      <w:marTop w:val="0"/>
      <w:marBottom w:val="0"/>
      <w:divBdr>
        <w:top w:val="none" w:sz="0" w:space="0" w:color="auto"/>
        <w:left w:val="none" w:sz="0" w:space="0" w:color="auto"/>
        <w:bottom w:val="none" w:sz="0" w:space="0" w:color="auto"/>
        <w:right w:val="none" w:sz="0" w:space="0" w:color="auto"/>
      </w:divBdr>
    </w:div>
    <w:div w:id="1861510075">
      <w:bodyDiv w:val="1"/>
      <w:marLeft w:val="0"/>
      <w:marRight w:val="0"/>
      <w:marTop w:val="0"/>
      <w:marBottom w:val="0"/>
      <w:divBdr>
        <w:top w:val="none" w:sz="0" w:space="0" w:color="auto"/>
        <w:left w:val="none" w:sz="0" w:space="0" w:color="auto"/>
        <w:bottom w:val="none" w:sz="0" w:space="0" w:color="auto"/>
        <w:right w:val="none" w:sz="0" w:space="0" w:color="auto"/>
      </w:divBdr>
    </w:div>
    <w:div w:id="1977098213">
      <w:bodyDiv w:val="1"/>
      <w:marLeft w:val="0"/>
      <w:marRight w:val="0"/>
      <w:marTop w:val="0"/>
      <w:marBottom w:val="0"/>
      <w:divBdr>
        <w:top w:val="none" w:sz="0" w:space="0" w:color="auto"/>
        <w:left w:val="none" w:sz="0" w:space="0" w:color="auto"/>
        <w:bottom w:val="none" w:sz="0" w:space="0" w:color="auto"/>
        <w:right w:val="none" w:sz="0" w:space="0" w:color="auto"/>
      </w:divBdr>
    </w:div>
    <w:div w:id="20243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7DAE-76BE-4F36-8E4E-31FF5A3B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5574</Words>
  <Characters>30658</Characters>
  <Application>Microsoft Office Word</Application>
  <DocSecurity>0</DocSecurity>
  <Lines>255</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36160</CharactersWithSpaces>
  <SharedDoc>false</SharedDoc>
  <HLinks>
    <vt:vector size="114" baseType="variant">
      <vt:variant>
        <vt:i4>1769534</vt:i4>
      </vt:variant>
      <vt:variant>
        <vt:i4>110</vt:i4>
      </vt:variant>
      <vt:variant>
        <vt:i4>0</vt:i4>
      </vt:variant>
      <vt:variant>
        <vt:i4>5</vt:i4>
      </vt:variant>
      <vt:variant>
        <vt:lpwstr/>
      </vt:variant>
      <vt:variant>
        <vt:lpwstr>_Toc516748922</vt:lpwstr>
      </vt:variant>
      <vt:variant>
        <vt:i4>1769534</vt:i4>
      </vt:variant>
      <vt:variant>
        <vt:i4>104</vt:i4>
      </vt:variant>
      <vt:variant>
        <vt:i4>0</vt:i4>
      </vt:variant>
      <vt:variant>
        <vt:i4>5</vt:i4>
      </vt:variant>
      <vt:variant>
        <vt:lpwstr/>
      </vt:variant>
      <vt:variant>
        <vt:lpwstr>_Toc516748921</vt:lpwstr>
      </vt:variant>
      <vt:variant>
        <vt:i4>1769534</vt:i4>
      </vt:variant>
      <vt:variant>
        <vt:i4>98</vt:i4>
      </vt:variant>
      <vt:variant>
        <vt:i4>0</vt:i4>
      </vt:variant>
      <vt:variant>
        <vt:i4>5</vt:i4>
      </vt:variant>
      <vt:variant>
        <vt:lpwstr/>
      </vt:variant>
      <vt:variant>
        <vt:lpwstr>_Toc516748920</vt:lpwstr>
      </vt:variant>
      <vt:variant>
        <vt:i4>1572926</vt:i4>
      </vt:variant>
      <vt:variant>
        <vt:i4>92</vt:i4>
      </vt:variant>
      <vt:variant>
        <vt:i4>0</vt:i4>
      </vt:variant>
      <vt:variant>
        <vt:i4>5</vt:i4>
      </vt:variant>
      <vt:variant>
        <vt:lpwstr/>
      </vt:variant>
      <vt:variant>
        <vt:lpwstr>_Toc516748919</vt:lpwstr>
      </vt:variant>
      <vt:variant>
        <vt:i4>1572926</vt:i4>
      </vt:variant>
      <vt:variant>
        <vt:i4>86</vt:i4>
      </vt:variant>
      <vt:variant>
        <vt:i4>0</vt:i4>
      </vt:variant>
      <vt:variant>
        <vt:i4>5</vt:i4>
      </vt:variant>
      <vt:variant>
        <vt:lpwstr/>
      </vt:variant>
      <vt:variant>
        <vt:lpwstr>_Toc516748918</vt:lpwstr>
      </vt:variant>
      <vt:variant>
        <vt:i4>1572926</vt:i4>
      </vt:variant>
      <vt:variant>
        <vt:i4>80</vt:i4>
      </vt:variant>
      <vt:variant>
        <vt:i4>0</vt:i4>
      </vt:variant>
      <vt:variant>
        <vt:i4>5</vt:i4>
      </vt:variant>
      <vt:variant>
        <vt:lpwstr/>
      </vt:variant>
      <vt:variant>
        <vt:lpwstr>_Toc516748917</vt:lpwstr>
      </vt:variant>
      <vt:variant>
        <vt:i4>1572926</vt:i4>
      </vt:variant>
      <vt:variant>
        <vt:i4>74</vt:i4>
      </vt:variant>
      <vt:variant>
        <vt:i4>0</vt:i4>
      </vt:variant>
      <vt:variant>
        <vt:i4>5</vt:i4>
      </vt:variant>
      <vt:variant>
        <vt:lpwstr/>
      </vt:variant>
      <vt:variant>
        <vt:lpwstr>_Toc516748916</vt:lpwstr>
      </vt:variant>
      <vt:variant>
        <vt:i4>1572926</vt:i4>
      </vt:variant>
      <vt:variant>
        <vt:i4>68</vt:i4>
      </vt:variant>
      <vt:variant>
        <vt:i4>0</vt:i4>
      </vt:variant>
      <vt:variant>
        <vt:i4>5</vt:i4>
      </vt:variant>
      <vt:variant>
        <vt:lpwstr/>
      </vt:variant>
      <vt:variant>
        <vt:lpwstr>_Toc516748915</vt:lpwstr>
      </vt:variant>
      <vt:variant>
        <vt:i4>1572926</vt:i4>
      </vt:variant>
      <vt:variant>
        <vt:i4>62</vt:i4>
      </vt:variant>
      <vt:variant>
        <vt:i4>0</vt:i4>
      </vt:variant>
      <vt:variant>
        <vt:i4>5</vt:i4>
      </vt:variant>
      <vt:variant>
        <vt:lpwstr/>
      </vt:variant>
      <vt:variant>
        <vt:lpwstr>_Toc516748914</vt:lpwstr>
      </vt:variant>
      <vt:variant>
        <vt:i4>1572926</vt:i4>
      </vt:variant>
      <vt:variant>
        <vt:i4>56</vt:i4>
      </vt:variant>
      <vt:variant>
        <vt:i4>0</vt:i4>
      </vt:variant>
      <vt:variant>
        <vt:i4>5</vt:i4>
      </vt:variant>
      <vt:variant>
        <vt:lpwstr/>
      </vt:variant>
      <vt:variant>
        <vt:lpwstr>_Toc516748913</vt:lpwstr>
      </vt:variant>
      <vt:variant>
        <vt:i4>1572926</vt:i4>
      </vt:variant>
      <vt:variant>
        <vt:i4>50</vt:i4>
      </vt:variant>
      <vt:variant>
        <vt:i4>0</vt:i4>
      </vt:variant>
      <vt:variant>
        <vt:i4>5</vt:i4>
      </vt:variant>
      <vt:variant>
        <vt:lpwstr/>
      </vt:variant>
      <vt:variant>
        <vt:lpwstr>_Toc516748912</vt:lpwstr>
      </vt:variant>
      <vt:variant>
        <vt:i4>1572926</vt:i4>
      </vt:variant>
      <vt:variant>
        <vt:i4>44</vt:i4>
      </vt:variant>
      <vt:variant>
        <vt:i4>0</vt:i4>
      </vt:variant>
      <vt:variant>
        <vt:i4>5</vt:i4>
      </vt:variant>
      <vt:variant>
        <vt:lpwstr/>
      </vt:variant>
      <vt:variant>
        <vt:lpwstr>_Toc516748911</vt:lpwstr>
      </vt:variant>
      <vt:variant>
        <vt:i4>1572926</vt:i4>
      </vt:variant>
      <vt:variant>
        <vt:i4>38</vt:i4>
      </vt:variant>
      <vt:variant>
        <vt:i4>0</vt:i4>
      </vt:variant>
      <vt:variant>
        <vt:i4>5</vt:i4>
      </vt:variant>
      <vt:variant>
        <vt:lpwstr/>
      </vt:variant>
      <vt:variant>
        <vt:lpwstr>_Toc516748910</vt:lpwstr>
      </vt:variant>
      <vt:variant>
        <vt:i4>1638462</vt:i4>
      </vt:variant>
      <vt:variant>
        <vt:i4>32</vt:i4>
      </vt:variant>
      <vt:variant>
        <vt:i4>0</vt:i4>
      </vt:variant>
      <vt:variant>
        <vt:i4>5</vt:i4>
      </vt:variant>
      <vt:variant>
        <vt:lpwstr/>
      </vt:variant>
      <vt:variant>
        <vt:lpwstr>_Toc516748909</vt:lpwstr>
      </vt:variant>
      <vt:variant>
        <vt:i4>1638462</vt:i4>
      </vt:variant>
      <vt:variant>
        <vt:i4>26</vt:i4>
      </vt:variant>
      <vt:variant>
        <vt:i4>0</vt:i4>
      </vt:variant>
      <vt:variant>
        <vt:i4>5</vt:i4>
      </vt:variant>
      <vt:variant>
        <vt:lpwstr/>
      </vt:variant>
      <vt:variant>
        <vt:lpwstr>_Toc516748908</vt:lpwstr>
      </vt:variant>
      <vt:variant>
        <vt:i4>1638462</vt:i4>
      </vt:variant>
      <vt:variant>
        <vt:i4>20</vt:i4>
      </vt:variant>
      <vt:variant>
        <vt:i4>0</vt:i4>
      </vt:variant>
      <vt:variant>
        <vt:i4>5</vt:i4>
      </vt:variant>
      <vt:variant>
        <vt:lpwstr/>
      </vt:variant>
      <vt:variant>
        <vt:lpwstr>_Toc516748907</vt:lpwstr>
      </vt:variant>
      <vt:variant>
        <vt:i4>1638462</vt:i4>
      </vt:variant>
      <vt:variant>
        <vt:i4>14</vt:i4>
      </vt:variant>
      <vt:variant>
        <vt:i4>0</vt:i4>
      </vt:variant>
      <vt:variant>
        <vt:i4>5</vt:i4>
      </vt:variant>
      <vt:variant>
        <vt:lpwstr/>
      </vt:variant>
      <vt:variant>
        <vt:lpwstr>_Toc516748906</vt:lpwstr>
      </vt:variant>
      <vt:variant>
        <vt:i4>1638462</vt:i4>
      </vt:variant>
      <vt:variant>
        <vt:i4>8</vt:i4>
      </vt:variant>
      <vt:variant>
        <vt:i4>0</vt:i4>
      </vt:variant>
      <vt:variant>
        <vt:i4>5</vt:i4>
      </vt:variant>
      <vt:variant>
        <vt:lpwstr/>
      </vt:variant>
      <vt:variant>
        <vt:lpwstr>_Toc516748905</vt:lpwstr>
      </vt:variant>
      <vt:variant>
        <vt:i4>1638462</vt:i4>
      </vt:variant>
      <vt:variant>
        <vt:i4>2</vt:i4>
      </vt:variant>
      <vt:variant>
        <vt:i4>0</vt:i4>
      </vt:variant>
      <vt:variant>
        <vt:i4>5</vt:i4>
      </vt:variant>
      <vt:variant>
        <vt:lpwstr/>
      </vt:variant>
      <vt:variant>
        <vt:lpwstr>_Toc516748904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Fermin Garcia</dc:creator>
  <cp:lastModifiedBy>Gerber Augusto Ardon Lemus</cp:lastModifiedBy>
  <cp:revision>2</cp:revision>
  <cp:lastPrinted>2021-03-08T16:15:00Z</cp:lastPrinted>
  <dcterms:created xsi:type="dcterms:W3CDTF">2021-03-08T16:49:00Z</dcterms:created>
  <dcterms:modified xsi:type="dcterms:W3CDTF">2021-03-08T16:49:00Z</dcterms:modified>
</cp:coreProperties>
</file>